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Default="00507694">
      <w:pPr>
        <w:rPr>
          <w:rFonts w:hint="cs"/>
          <w:rtl/>
        </w:rPr>
      </w:pPr>
      <w:bookmarkStart w:id="0" w:name="_GoBack"/>
      <w:bookmarkEnd w:id="0"/>
    </w:p>
    <w:tbl>
      <w:tblPr>
        <w:tblStyle w:val="a8"/>
        <w:bidiVisual/>
        <w:tblW w:w="8820" w:type="dxa"/>
        <w:jc w:val="center"/>
        <w:tblLook w:val="01E0" w:firstRow="1" w:lastRow="1" w:firstColumn="1" w:lastColumn="1" w:noHBand="0" w:noVBand="0"/>
      </w:tblPr>
      <w:tblGrid>
        <w:gridCol w:w="923"/>
        <w:gridCol w:w="3219"/>
        <w:gridCol w:w="4678"/>
      </w:tblGrid>
      <w:tr w:rsidR="00507694" w:rsidRPr="00822550">
        <w:trPr>
          <w:trHeight w:val="295"/>
          <w:jc w:val="center"/>
        </w:trPr>
        <w:tc>
          <w:tcPr>
            <w:tcW w:w="923" w:type="dxa"/>
            <w:tcBorders>
              <w:top w:val="nil"/>
              <w:left w:val="nil"/>
              <w:bottom w:val="nil"/>
              <w:right w:val="nil"/>
            </w:tcBorders>
          </w:tcPr>
          <w:p w:rsidR="00507694" w:rsidRPr="00822550" w:rsidRDefault="00D33BE7">
            <w:pPr>
              <w:jc w:val="both"/>
              <w:rPr>
                <w:rFonts w:ascii="David" w:hAnsi="David"/>
                <w:sz w:val="26"/>
                <w:szCs w:val="26"/>
              </w:rPr>
            </w:pPr>
            <w:r>
              <w:rPr>
                <w:rFonts w:ascii="David" w:hAnsi="David" w:hint="cs"/>
                <w:sz w:val="26"/>
                <w:szCs w:val="26"/>
                <w:rtl/>
              </w:rPr>
              <w:t>ל</w:t>
            </w:r>
            <w:r w:rsidR="00684E84" w:rsidRPr="00822550">
              <w:rPr>
                <w:rFonts w:ascii="David" w:hAnsi="David"/>
                <w:sz w:val="26"/>
                <w:szCs w:val="26"/>
                <w:rtl/>
              </w:rPr>
              <w:t xml:space="preserve">פני </w:t>
            </w:r>
          </w:p>
        </w:tc>
        <w:tc>
          <w:tcPr>
            <w:tcW w:w="7897" w:type="dxa"/>
            <w:gridSpan w:val="2"/>
            <w:tcBorders>
              <w:top w:val="nil"/>
              <w:left w:val="nil"/>
              <w:bottom w:val="nil"/>
              <w:right w:val="nil"/>
            </w:tcBorders>
          </w:tcPr>
          <w:p w:rsidR="00507694" w:rsidRPr="00822550" w:rsidRDefault="006C2095" w:rsidP="00111C66">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1615122647"/>
                <w:text w:multiLine="1"/>
              </w:sdtPr>
              <w:sdtEndPr/>
              <w:sdtContent>
                <w:r>
                  <w:rPr>
                    <w:rFonts w:ascii="David" w:hAnsi="David"/>
                    <w:b/>
                    <w:bCs/>
                    <w:sz w:val="26"/>
                    <w:szCs w:val="26"/>
                    <w:rtl/>
                  </w:rPr>
                  <w:t>שופטת</w:t>
                </w:r>
              </w:sdtContent>
            </w:sdt>
            <w:r w:rsidR="00684E84" w:rsidRPr="00822550">
              <w:rPr>
                <w:rFonts w:ascii="David" w:hAnsi="David"/>
                <w:b/>
                <w:bCs/>
                <w:sz w:val="26"/>
                <w:szCs w:val="26"/>
                <w:rtl/>
              </w:rPr>
              <w:t xml:space="preserve"> </w:t>
            </w:r>
            <w:r w:rsidR="00111C66">
              <w:rPr>
                <w:rFonts w:ascii="David" w:hAnsi="David" w:hint="cs"/>
                <w:b/>
                <w:bCs/>
                <w:sz w:val="26"/>
                <w:szCs w:val="26"/>
                <w:rtl/>
              </w:rPr>
              <w:t xml:space="preserve">ליאורה </w:t>
            </w:r>
            <w:sdt>
              <w:sdtPr>
                <w:rPr>
                  <w:rFonts w:ascii="David" w:hAnsi="David"/>
                  <w:b/>
                  <w:bCs/>
                  <w:sz w:val="26"/>
                  <w:szCs w:val="26"/>
                  <w:rtl/>
                </w:rPr>
                <w:alias w:val="1573"/>
                <w:tag w:val="1573"/>
                <w:id w:val="-1715807626"/>
                <w:text w:multiLine="1"/>
              </w:sdtPr>
              <w:sdtEndPr/>
              <w:sdtContent>
                <w:r w:rsidR="00111C66" w:rsidRPr="00111C66">
                  <w:rPr>
                    <w:rFonts w:ascii="David" w:hAnsi="David"/>
                    <w:b/>
                    <w:bCs/>
                    <w:sz w:val="26"/>
                    <w:szCs w:val="26"/>
                    <w:rtl/>
                  </w:rPr>
                  <w:t>ברודי, סגנית הנשיאה</w:t>
                </w:r>
              </w:sdtContent>
            </w:sdt>
          </w:p>
          <w:p w:rsidR="00507694" w:rsidRPr="00822550" w:rsidRDefault="006C2095">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439500013"/>
                <w:text w:multiLine="1"/>
              </w:sdtPr>
              <w:sdtEndPr/>
              <w:sdtContent>
                <w:r>
                  <w:rPr>
                    <w:rFonts w:ascii="David" w:hAnsi="David"/>
                    <w:b/>
                    <w:bCs/>
                    <w:sz w:val="26"/>
                    <w:szCs w:val="26"/>
                    <w:rtl/>
                  </w:rPr>
                  <w:t>שופטת</w:t>
                </w:r>
              </w:sdtContent>
            </w:sdt>
            <w:r w:rsidR="00684E84" w:rsidRPr="00822550">
              <w:rPr>
                <w:rFonts w:ascii="David" w:hAnsi="David"/>
                <w:b/>
                <w:bCs/>
                <w:sz w:val="26"/>
                <w:szCs w:val="26"/>
                <w:rtl/>
              </w:rPr>
              <w:t xml:space="preserve">  </w:t>
            </w:r>
            <w:r w:rsidR="00111C66">
              <w:rPr>
                <w:rFonts w:ascii="David" w:hAnsi="David" w:hint="cs"/>
                <w:b/>
                <w:bCs/>
                <w:sz w:val="26"/>
                <w:szCs w:val="26"/>
                <w:rtl/>
              </w:rPr>
              <w:t xml:space="preserve">מיכל </w:t>
            </w:r>
            <w:sdt>
              <w:sdtPr>
                <w:rPr>
                  <w:rFonts w:ascii="David" w:hAnsi="David"/>
                  <w:sz w:val="26"/>
                  <w:szCs w:val="26"/>
                  <w:rtl/>
                </w:rPr>
                <w:alias w:val="1573"/>
                <w:tag w:val="1573"/>
                <w:id w:val="-1826418351"/>
                <w:text w:multiLine="1"/>
              </w:sdtPr>
              <w:sdtEndPr/>
              <w:sdtContent>
                <w:r>
                  <w:rPr>
                    <w:rFonts w:ascii="David" w:hAnsi="David"/>
                    <w:b/>
                    <w:bCs/>
                    <w:sz w:val="26"/>
                    <w:szCs w:val="26"/>
                    <w:rtl/>
                  </w:rPr>
                  <w:t>ברק נבו</w:t>
                </w:r>
              </w:sdtContent>
            </w:sdt>
          </w:p>
          <w:p w:rsidR="00507694" w:rsidRPr="00822550" w:rsidRDefault="006C2095">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632332329"/>
                <w:text w:multiLine="1"/>
              </w:sdtPr>
              <w:sdtEndPr/>
              <w:sdtContent>
                <w:r>
                  <w:rPr>
                    <w:rFonts w:ascii="David" w:hAnsi="David"/>
                    <w:b/>
                    <w:bCs/>
                    <w:sz w:val="26"/>
                    <w:szCs w:val="26"/>
                    <w:rtl/>
                  </w:rPr>
                  <w:t>שופט</w:t>
                </w:r>
              </w:sdtContent>
            </w:sdt>
            <w:r w:rsidR="00684E84" w:rsidRPr="00822550">
              <w:rPr>
                <w:rFonts w:ascii="David" w:hAnsi="David"/>
                <w:b/>
                <w:bCs/>
                <w:sz w:val="26"/>
                <w:szCs w:val="26"/>
                <w:rtl/>
              </w:rPr>
              <w:t xml:space="preserve">  </w:t>
            </w:r>
            <w:sdt>
              <w:sdtPr>
                <w:rPr>
                  <w:rFonts w:ascii="David" w:hAnsi="David"/>
                  <w:b/>
                  <w:bCs/>
                  <w:sz w:val="26"/>
                  <w:szCs w:val="26"/>
                  <w:rtl/>
                </w:rPr>
                <w:alias w:val="1573"/>
                <w:tag w:val="1573"/>
                <w:id w:val="377520747"/>
                <w:text w:multiLine="1"/>
              </w:sdtPr>
              <w:sdtEndPr/>
              <w:sdtContent>
                <w:r w:rsidR="00111C66" w:rsidRPr="00111C66">
                  <w:rPr>
                    <w:rFonts w:ascii="David" w:hAnsi="David" w:hint="cs"/>
                    <w:b/>
                    <w:bCs/>
                    <w:sz w:val="26"/>
                    <w:szCs w:val="26"/>
                    <w:rtl/>
                  </w:rPr>
                  <w:t xml:space="preserve">מיכאל </w:t>
                </w:r>
                <w:r w:rsidRPr="00111C66">
                  <w:rPr>
                    <w:rFonts w:ascii="David" w:hAnsi="David"/>
                    <w:b/>
                    <w:bCs/>
                    <w:sz w:val="26"/>
                    <w:szCs w:val="26"/>
                    <w:rtl/>
                  </w:rPr>
                  <w:t>תמיר</w:t>
                </w:r>
              </w:sdtContent>
            </w:sdt>
          </w:p>
          <w:p w:rsidR="00507694" w:rsidRPr="00822550" w:rsidRDefault="00507694">
            <w:pPr>
              <w:rPr>
                <w:rFonts w:ascii="David" w:hAnsi="David"/>
                <w:sz w:val="26"/>
                <w:szCs w:val="26"/>
                <w:rtl/>
              </w:rPr>
            </w:pPr>
          </w:p>
        </w:tc>
      </w:tr>
      <w:tr w:rsidR="00507694" w:rsidRPr="00822550" w:rsidTr="000F2247">
        <w:trPr>
          <w:trHeight w:val="355"/>
          <w:jc w:val="center"/>
        </w:trPr>
        <w:tc>
          <w:tcPr>
            <w:tcW w:w="923" w:type="dxa"/>
            <w:tcBorders>
              <w:top w:val="nil"/>
              <w:left w:val="nil"/>
              <w:bottom w:val="nil"/>
              <w:right w:val="nil"/>
            </w:tcBorders>
          </w:tcPr>
          <w:p w:rsidR="00835F03" w:rsidRDefault="00835F03">
            <w:pPr>
              <w:jc w:val="both"/>
              <w:rPr>
                <w:rFonts w:ascii="David" w:hAnsi="David"/>
                <w:sz w:val="26"/>
                <w:szCs w:val="26"/>
                <w:rtl/>
              </w:rPr>
            </w:pPr>
          </w:p>
          <w:p w:rsidR="00507694" w:rsidRPr="00822550" w:rsidRDefault="00684E84">
            <w:pPr>
              <w:jc w:val="both"/>
              <w:rPr>
                <w:rFonts w:ascii="David" w:hAnsi="David"/>
                <w:sz w:val="26"/>
                <w:szCs w:val="26"/>
              </w:rPr>
            </w:pPr>
            <w:r w:rsidRPr="00822550">
              <w:rPr>
                <w:rFonts w:ascii="David" w:hAnsi="David"/>
                <w:sz w:val="26"/>
                <w:szCs w:val="26"/>
                <w:rtl/>
              </w:rPr>
              <w:t>בעניין:</w:t>
            </w:r>
          </w:p>
        </w:tc>
        <w:tc>
          <w:tcPr>
            <w:tcW w:w="3219" w:type="dxa"/>
            <w:tcBorders>
              <w:top w:val="nil"/>
              <w:left w:val="nil"/>
              <w:bottom w:val="nil"/>
              <w:right w:val="nil"/>
            </w:tcBorders>
          </w:tcPr>
          <w:p w:rsidR="00835F03" w:rsidRDefault="00835F03" w:rsidP="000F2247">
            <w:pPr>
              <w:suppressLineNumbers/>
              <w:rPr>
                <w:rFonts w:ascii="Arial" w:hAnsi="Arial"/>
                <w:b/>
                <w:bCs/>
                <w:sz w:val="26"/>
                <w:szCs w:val="26"/>
                <w:rtl/>
              </w:rPr>
            </w:pPr>
          </w:p>
          <w:p w:rsidR="000F2247" w:rsidRDefault="000F2247" w:rsidP="000F2247">
            <w:pPr>
              <w:suppressLineNumbers/>
            </w:pPr>
            <w:r w:rsidRPr="000F2247">
              <w:rPr>
                <w:rFonts w:ascii="Arial" w:hAnsi="Arial" w:hint="cs"/>
                <w:b/>
                <w:bCs/>
                <w:sz w:val="26"/>
                <w:szCs w:val="26"/>
                <w:rtl/>
              </w:rPr>
              <w:t>ה</w:t>
            </w:r>
            <w:sdt>
              <w:sdtPr>
                <w:rPr>
                  <w:rFonts w:hint="cs"/>
                  <w:rtl/>
                </w:rPr>
                <w:alias w:val="1180"/>
                <w:tag w:val="1180"/>
                <w:id w:val="637458750"/>
                <w:text w:multiLine="1"/>
              </w:sdtPr>
              <w:sdtEndPr/>
              <w:sdtContent>
                <w:r>
                  <w:rPr>
                    <w:rFonts w:ascii="Arial" w:hAnsi="Arial"/>
                    <w:b/>
                    <w:bCs/>
                    <w:sz w:val="26"/>
                    <w:szCs w:val="26"/>
                    <w:rtl/>
                  </w:rPr>
                  <w:t>מאשימה</w:t>
                </w:r>
              </w:sdtContent>
            </w:sdt>
          </w:p>
          <w:p w:rsidR="00507694" w:rsidRPr="000F2247" w:rsidRDefault="00507694" w:rsidP="003E0C9F">
            <w:pPr>
              <w:rPr>
                <w:rFonts w:ascii="David" w:hAnsi="David"/>
                <w:sz w:val="26"/>
                <w:szCs w:val="26"/>
              </w:rPr>
            </w:pPr>
          </w:p>
        </w:tc>
        <w:tc>
          <w:tcPr>
            <w:tcW w:w="4678" w:type="dxa"/>
            <w:tcBorders>
              <w:top w:val="nil"/>
              <w:left w:val="nil"/>
              <w:bottom w:val="nil"/>
              <w:right w:val="nil"/>
            </w:tcBorders>
            <w:vAlign w:val="center"/>
          </w:tcPr>
          <w:p w:rsidR="00835F03" w:rsidRDefault="00835F03" w:rsidP="000F2247">
            <w:pPr>
              <w:suppressLineNumbers/>
              <w:rPr>
                <w:rFonts w:ascii="Arial" w:hAnsi="Arial"/>
                <w:b/>
                <w:bCs/>
                <w:sz w:val="26"/>
                <w:szCs w:val="26"/>
                <w:rtl/>
              </w:rPr>
            </w:pPr>
          </w:p>
          <w:p w:rsidR="00707B7E" w:rsidRDefault="009E4BB9" w:rsidP="000F2247">
            <w:pPr>
              <w:suppressLineNumbers/>
              <w:rPr>
                <w:rFonts w:ascii="Arial" w:hAnsi="Arial"/>
                <w:b/>
                <w:bCs/>
                <w:sz w:val="26"/>
                <w:szCs w:val="26"/>
                <w:rtl/>
              </w:rPr>
            </w:pPr>
            <w:sdt>
              <w:sdtPr>
                <w:rPr>
                  <w:rFonts w:ascii="Arial" w:hAnsi="Arial"/>
                  <w:b/>
                  <w:bCs/>
                  <w:sz w:val="26"/>
                  <w:szCs w:val="26"/>
                  <w:rtl/>
                </w:rPr>
                <w:alias w:val="3151"/>
                <w:tag w:val="3151"/>
                <w:id w:val="1166218717"/>
                <w:placeholder>
                  <w:docPart w:val="779E22585710421C8C89FB185AEA4F29"/>
                </w:placeholder>
                <w:text w:multiLine="1"/>
              </w:sdtPr>
              <w:sdtEndPr/>
              <w:sdtContent>
                <w:r w:rsidR="00D33BE7">
                  <w:rPr>
                    <w:rFonts w:ascii="Arial" w:hAnsi="Arial"/>
                    <w:b/>
                    <w:bCs/>
                    <w:sz w:val="26"/>
                    <w:szCs w:val="26"/>
                    <w:rtl/>
                  </w:rPr>
                  <w:t>מדינת ישראל</w:t>
                </w:r>
              </w:sdtContent>
            </w:sdt>
            <w:r w:rsidR="009705CC">
              <w:rPr>
                <w:rFonts w:ascii="Arial" w:hAnsi="Arial" w:hint="cs"/>
                <w:b/>
                <w:bCs/>
                <w:sz w:val="26"/>
                <w:szCs w:val="26"/>
                <w:rtl/>
              </w:rPr>
              <w:t xml:space="preserve"> </w:t>
            </w:r>
          </w:p>
          <w:p w:rsidR="000F2247" w:rsidRPr="00707B7E" w:rsidRDefault="009705CC" w:rsidP="00C821E7">
            <w:pPr>
              <w:suppressLineNumbers/>
            </w:pPr>
            <w:r w:rsidRPr="00707B7E">
              <w:rPr>
                <w:rFonts w:ascii="Arial" w:hAnsi="Arial"/>
                <w:sz w:val="26"/>
                <w:szCs w:val="26"/>
                <w:rtl/>
              </w:rPr>
              <w:t>ע"י עוה"ד</w:t>
            </w:r>
            <w:r w:rsidR="00707B7E">
              <w:rPr>
                <w:rFonts w:ascii="Arial" w:hAnsi="Arial" w:hint="cs"/>
                <w:sz w:val="26"/>
                <w:szCs w:val="26"/>
                <w:rtl/>
              </w:rPr>
              <w:t xml:space="preserve"> עינת בניטה וטל שילוני</w:t>
            </w:r>
            <w:r w:rsidR="00C821E7">
              <w:rPr>
                <w:rFonts w:ascii="Arial" w:hAnsi="Arial" w:hint="cs"/>
                <w:sz w:val="26"/>
                <w:szCs w:val="26"/>
                <w:rtl/>
              </w:rPr>
              <w:t>, פמ"מ (פלילי)</w:t>
            </w:r>
          </w:p>
          <w:p w:rsidR="00507694" w:rsidRPr="000F2247" w:rsidRDefault="00507694" w:rsidP="000F2247">
            <w:pPr>
              <w:rPr>
                <w:rFonts w:ascii="David" w:hAnsi="David"/>
                <w:sz w:val="26"/>
                <w:szCs w:val="26"/>
              </w:rPr>
            </w:pPr>
          </w:p>
        </w:tc>
      </w:tr>
      <w:tr w:rsidR="00507694" w:rsidRPr="00822550">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7897" w:type="dxa"/>
            <w:gridSpan w:val="2"/>
            <w:tcBorders>
              <w:top w:val="nil"/>
              <w:left w:val="nil"/>
              <w:bottom w:val="nil"/>
              <w:right w:val="nil"/>
            </w:tcBorders>
          </w:tcPr>
          <w:p w:rsidR="00507694" w:rsidRPr="00822550" w:rsidRDefault="00507694">
            <w:pPr>
              <w:jc w:val="center"/>
              <w:rPr>
                <w:rFonts w:ascii="David" w:hAnsi="David"/>
                <w:b/>
                <w:bCs/>
                <w:sz w:val="26"/>
                <w:szCs w:val="26"/>
                <w:rtl/>
              </w:rPr>
            </w:pPr>
          </w:p>
          <w:p w:rsidR="00507694" w:rsidRPr="00822550" w:rsidRDefault="00684E84">
            <w:pPr>
              <w:jc w:val="center"/>
              <w:rPr>
                <w:rFonts w:ascii="David" w:hAnsi="David"/>
                <w:b/>
                <w:bCs/>
                <w:sz w:val="26"/>
                <w:szCs w:val="26"/>
                <w:rtl/>
              </w:rPr>
            </w:pPr>
            <w:r w:rsidRPr="00822550">
              <w:rPr>
                <w:rFonts w:ascii="David" w:hAnsi="David"/>
                <w:b/>
                <w:bCs/>
                <w:sz w:val="26"/>
                <w:szCs w:val="26"/>
                <w:rtl/>
              </w:rPr>
              <w:t>נגד</w:t>
            </w: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rsidP="003E0C9F">
            <w:pPr>
              <w:rPr>
                <w:rFonts w:ascii="David" w:hAnsi="David"/>
                <w:sz w:val="26"/>
                <w:szCs w:val="26"/>
                <w:rtl/>
              </w:rPr>
            </w:pPr>
          </w:p>
        </w:tc>
        <w:tc>
          <w:tcPr>
            <w:tcW w:w="3219" w:type="dxa"/>
            <w:tcBorders>
              <w:top w:val="nil"/>
              <w:left w:val="nil"/>
              <w:bottom w:val="nil"/>
              <w:right w:val="nil"/>
            </w:tcBorders>
          </w:tcPr>
          <w:p w:rsidR="00507694" w:rsidRPr="000F2247" w:rsidRDefault="000F2247" w:rsidP="00707B7E">
            <w:pPr>
              <w:rPr>
                <w:rFonts w:ascii="Arial" w:hAnsi="Arial"/>
                <w:b/>
                <w:bCs/>
                <w:sz w:val="26"/>
                <w:szCs w:val="26"/>
                <w:rtl/>
              </w:rPr>
            </w:pPr>
            <w:r w:rsidRPr="000F2247">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Pr>
                    <w:rFonts w:ascii="Arial" w:hAnsi="Arial"/>
                    <w:b/>
                    <w:bCs/>
                    <w:sz w:val="26"/>
                    <w:szCs w:val="26"/>
                    <w:rtl/>
                  </w:rPr>
                  <w:t>נאשם</w:t>
                </w:r>
              </w:sdtContent>
            </w:sdt>
          </w:p>
        </w:tc>
        <w:tc>
          <w:tcPr>
            <w:tcW w:w="4678" w:type="dxa"/>
            <w:tcBorders>
              <w:top w:val="nil"/>
              <w:left w:val="nil"/>
              <w:bottom w:val="nil"/>
              <w:right w:val="nil"/>
            </w:tcBorders>
            <w:vAlign w:val="center"/>
          </w:tcPr>
          <w:p w:rsidR="00707B7E" w:rsidRDefault="009E4BB9" w:rsidP="000F2247">
            <w:pPr>
              <w:suppressLineNumbers/>
              <w:rPr>
                <w:rFonts w:ascii="Arial" w:hAnsi="Arial"/>
                <w:b/>
                <w:bCs/>
                <w:sz w:val="26"/>
                <w:szCs w:val="26"/>
                <w:rtl/>
              </w:rPr>
            </w:pPr>
            <w:sdt>
              <w:sdtPr>
                <w:rPr>
                  <w:rFonts w:ascii="Arial" w:hAnsi="Arial"/>
                  <w:b/>
                  <w:bCs/>
                  <w:sz w:val="26"/>
                  <w:szCs w:val="26"/>
                  <w:rtl/>
                </w:rPr>
                <w:alias w:val="3152"/>
                <w:tag w:val="3152"/>
                <w:id w:val="-1346628691"/>
                <w:placeholder>
                  <w:docPart w:val="010484D989C74E84A895BCF1D17B4C1C"/>
                </w:placeholder>
                <w:text w:multiLine="1"/>
              </w:sdtPr>
              <w:sdtEndPr/>
              <w:sdtContent>
                <w:r w:rsidR="00D33BE7">
                  <w:rPr>
                    <w:rFonts w:ascii="Arial" w:hAnsi="Arial"/>
                    <w:b/>
                    <w:bCs/>
                    <w:sz w:val="26"/>
                    <w:szCs w:val="26"/>
                    <w:rtl/>
                  </w:rPr>
                  <w:t>ויקטור קטן</w:t>
                </w:r>
              </w:sdtContent>
            </w:sdt>
          </w:p>
          <w:p w:rsidR="000F2247" w:rsidRPr="00707B7E" w:rsidRDefault="00707B7E" w:rsidP="00111C66">
            <w:pPr>
              <w:suppressLineNumbers/>
            </w:pPr>
            <w:r>
              <w:rPr>
                <w:rFonts w:ascii="Arial" w:hAnsi="Arial"/>
                <w:sz w:val="26"/>
                <w:szCs w:val="26"/>
                <w:rtl/>
              </w:rPr>
              <w:t>ע"י ב</w:t>
            </w:r>
            <w:r>
              <w:rPr>
                <w:rFonts w:ascii="Arial" w:hAnsi="Arial" w:hint="cs"/>
                <w:sz w:val="26"/>
                <w:szCs w:val="26"/>
                <w:rtl/>
              </w:rPr>
              <w:t>א-כוחו</w:t>
            </w:r>
            <w:r w:rsidR="009705CC" w:rsidRPr="00707B7E">
              <w:rPr>
                <w:rFonts w:ascii="Arial" w:hAnsi="Arial"/>
                <w:sz w:val="26"/>
                <w:szCs w:val="26"/>
                <w:rtl/>
              </w:rPr>
              <w:t xml:space="preserve"> עו"ד</w:t>
            </w:r>
            <w:r>
              <w:rPr>
                <w:rFonts w:ascii="Arial" w:hAnsi="Arial" w:hint="cs"/>
                <w:sz w:val="26"/>
                <w:szCs w:val="26"/>
                <w:rtl/>
              </w:rPr>
              <w:t xml:space="preserve"> אבי </w:t>
            </w:r>
            <w:r w:rsidRPr="00FA70CF">
              <w:rPr>
                <w:rFonts w:ascii="Arial" w:hAnsi="Arial" w:hint="cs"/>
                <w:sz w:val="26"/>
                <w:szCs w:val="26"/>
                <w:rtl/>
              </w:rPr>
              <w:t>כהן</w:t>
            </w:r>
            <w:r w:rsidRPr="00FA70CF">
              <w:rPr>
                <w:rFonts w:hint="cs"/>
                <w:sz w:val="26"/>
                <w:szCs w:val="26"/>
                <w:rtl/>
              </w:rPr>
              <w:t xml:space="preserve"> </w:t>
            </w:r>
          </w:p>
          <w:p w:rsidR="00507694" w:rsidRPr="000F2247" w:rsidRDefault="00507694" w:rsidP="000F2247">
            <w:pPr>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3219" w:type="dxa"/>
            <w:tcBorders>
              <w:top w:val="nil"/>
              <w:left w:val="nil"/>
              <w:bottom w:val="nil"/>
              <w:right w:val="nil"/>
            </w:tcBorders>
          </w:tcPr>
          <w:p w:rsidR="00507694" w:rsidRPr="00822550" w:rsidRDefault="00507694">
            <w:pPr>
              <w:jc w:val="both"/>
              <w:rPr>
                <w:rFonts w:ascii="David" w:hAnsi="David"/>
                <w:sz w:val="26"/>
                <w:szCs w:val="26"/>
                <w:rtl/>
              </w:rPr>
            </w:pPr>
          </w:p>
        </w:tc>
        <w:tc>
          <w:tcPr>
            <w:tcW w:w="4678" w:type="dxa"/>
            <w:tcBorders>
              <w:top w:val="nil"/>
              <w:left w:val="nil"/>
              <w:bottom w:val="nil"/>
              <w:right w:val="nil"/>
            </w:tcBorders>
          </w:tcPr>
          <w:p w:rsidR="00507694" w:rsidRPr="00822550" w:rsidRDefault="00507694">
            <w:pPr>
              <w:jc w:val="right"/>
              <w:rPr>
                <w:rFonts w:ascii="David" w:hAnsi="David"/>
                <w:sz w:val="26"/>
                <w:szCs w:val="26"/>
              </w:rPr>
            </w:pPr>
          </w:p>
        </w:tc>
      </w:tr>
    </w:tbl>
    <w:p w:rsidR="00507694" w:rsidRDefault="00507694">
      <w:pPr>
        <w:rPr>
          <w:sz w:val="26"/>
          <w:szCs w:val="26"/>
          <w:rtl/>
        </w:rPr>
      </w:pPr>
    </w:p>
    <w:p w:rsidR="00707B7E" w:rsidRPr="00822550" w:rsidRDefault="00707B7E">
      <w:pPr>
        <w:rPr>
          <w:sz w:val="26"/>
          <w:szCs w:val="26"/>
        </w:rPr>
      </w:pPr>
    </w:p>
    <w:tbl>
      <w:tblPr>
        <w:tblStyle w:val="a8"/>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4564B6" w:rsidRDefault="004564B6">
            <w:pPr>
              <w:jc w:val="center"/>
              <w:rPr>
                <w:rFonts w:ascii="David" w:hAnsi="David"/>
                <w:b/>
                <w:bCs/>
                <w:sz w:val="32"/>
                <w:szCs w:val="32"/>
                <w:u w:val="single"/>
                <w:rtl/>
              </w:rPr>
            </w:pPr>
          </w:p>
          <w:p w:rsidR="00507694" w:rsidRPr="000454A8" w:rsidRDefault="00684E84">
            <w:pPr>
              <w:jc w:val="center"/>
              <w:rPr>
                <w:rFonts w:ascii="David" w:hAnsi="David"/>
                <w:sz w:val="32"/>
                <w:szCs w:val="32"/>
                <w:u w:val="single"/>
                <w:rtl/>
              </w:rPr>
            </w:pPr>
            <w:r w:rsidRPr="000454A8">
              <w:rPr>
                <w:rFonts w:ascii="David" w:hAnsi="David"/>
                <w:b/>
                <w:bCs/>
                <w:sz w:val="32"/>
                <w:szCs w:val="32"/>
                <w:u w:val="single"/>
                <w:rtl/>
              </w:rPr>
              <w:t>גזר דין</w:t>
            </w:r>
          </w:p>
        </w:tc>
      </w:tr>
    </w:tbl>
    <w:p w:rsidR="00507694" w:rsidRDefault="00507694">
      <w:pPr>
        <w:rPr>
          <w:rFonts w:ascii="Arial" w:hAnsi="Arial"/>
          <w:b/>
          <w:bCs/>
          <w:sz w:val="26"/>
          <w:szCs w:val="26"/>
          <w:rtl/>
        </w:rPr>
      </w:pPr>
    </w:p>
    <w:p w:rsidR="00707B7E" w:rsidRDefault="00707B7E" w:rsidP="00707B7E">
      <w:pPr>
        <w:tabs>
          <w:tab w:val="left" w:pos="509"/>
        </w:tabs>
        <w:ind w:left="509" w:hanging="425"/>
        <w:rPr>
          <w:rFonts w:ascii="David" w:hAnsi="David"/>
        </w:rPr>
      </w:pPr>
    </w:p>
    <w:p w:rsidR="00707B7E" w:rsidRDefault="00707B7E" w:rsidP="00707B7E">
      <w:pPr>
        <w:pStyle w:val="ab"/>
        <w:numPr>
          <w:ilvl w:val="0"/>
          <w:numId w:val="3"/>
        </w:numPr>
        <w:spacing w:line="360" w:lineRule="auto"/>
        <w:jc w:val="both"/>
        <w:rPr>
          <w:rFonts w:ascii="David" w:hAnsi="David" w:cs="David"/>
          <w:sz w:val="24"/>
          <w:szCs w:val="24"/>
          <w:rtl/>
        </w:rPr>
      </w:pPr>
      <w:r>
        <w:rPr>
          <w:rFonts w:ascii="David" w:hAnsi="David" w:cs="David"/>
          <w:sz w:val="24"/>
          <w:szCs w:val="24"/>
          <w:rtl/>
        </w:rPr>
        <w:t xml:space="preserve">בכתב האישום יוחסה לנאשם עבירה של רצח בכוונה, לפי סעיף 300(א) לחוק העונשין, התשל"ז-1977. </w:t>
      </w:r>
      <w:r>
        <w:rPr>
          <w:rFonts w:ascii="David" w:hAnsi="David" w:cs="David"/>
          <w:sz w:val="24"/>
          <w:szCs w:val="24"/>
          <w:u w:val="single"/>
          <w:rtl/>
        </w:rPr>
        <w:t>לאחר שמיעת ראיות, הורשע הנאשם בעבירה של רצח באדישות, לפי סעיף 300(א) לחוק העונשין</w:t>
      </w:r>
      <w:r>
        <w:rPr>
          <w:rFonts w:ascii="David" w:hAnsi="David" w:cs="David"/>
          <w:sz w:val="24"/>
          <w:szCs w:val="24"/>
          <w:rtl/>
        </w:rPr>
        <w:t>.</w:t>
      </w:r>
    </w:p>
    <w:p w:rsidR="00707B7E" w:rsidRDefault="00707B7E" w:rsidP="00707B7E">
      <w:pPr>
        <w:pStyle w:val="ab"/>
        <w:spacing w:line="360" w:lineRule="auto"/>
        <w:ind w:left="502"/>
        <w:jc w:val="both"/>
        <w:rPr>
          <w:rFonts w:ascii="David" w:hAnsi="David" w:cs="David"/>
          <w:sz w:val="24"/>
          <w:szCs w:val="24"/>
        </w:rPr>
      </w:pPr>
    </w:p>
    <w:p w:rsidR="00707B7E" w:rsidRDefault="00707B7E" w:rsidP="00707B7E">
      <w:pPr>
        <w:pStyle w:val="ab"/>
        <w:numPr>
          <w:ilvl w:val="0"/>
          <w:numId w:val="3"/>
        </w:numPr>
        <w:spacing w:line="360" w:lineRule="auto"/>
        <w:jc w:val="both"/>
        <w:rPr>
          <w:rFonts w:ascii="David" w:hAnsi="David" w:cs="David"/>
          <w:sz w:val="24"/>
          <w:szCs w:val="24"/>
          <w:rtl/>
        </w:rPr>
      </w:pPr>
      <w:r>
        <w:rPr>
          <w:rFonts w:ascii="David" w:hAnsi="David" w:cs="David"/>
          <w:sz w:val="24"/>
          <w:szCs w:val="24"/>
          <w:rtl/>
        </w:rPr>
        <w:t xml:space="preserve">האירוע מושא כתב האישום התרחש ביום 28.7.19, עת הגיע הנאשם שנהג ברכבו לחניון הנמצא בקניון ברמלה יחד עם אשתו מוניקה. כפי שפורט בהכרעת הדין, מצבה הרפואי של מוניקה היה מורכב. בין היתר, כחודש וחצי עובר לאירוע עברה מוניקה ניתוח, לאחר שחלתה במחלה קשה. באותה עת הפצע של הניתוח היה עדיין פתוח וחבוש, ומוניקה עמדה לפני קבלת סדרת טיפולים רפואיים. </w:t>
      </w:r>
    </w:p>
    <w:p w:rsidR="00707B7E" w:rsidRDefault="00707B7E" w:rsidP="00707B7E">
      <w:pPr>
        <w:spacing w:line="360" w:lineRule="auto"/>
        <w:ind w:left="502"/>
        <w:jc w:val="both"/>
        <w:rPr>
          <w:rFonts w:ascii="David" w:hAnsi="David"/>
          <w:rtl/>
        </w:rPr>
      </w:pPr>
      <w:r>
        <w:rPr>
          <w:rFonts w:ascii="David" w:hAnsi="David"/>
          <w:rtl/>
        </w:rPr>
        <w:t xml:space="preserve">כאשר החנה הנאשם את רכבו, עמדה מוניקה מחוץ לרכב וכיוונה אותו בנהיגתו. באותו זמן הגיע למקום המנוח ברכבו, יחד עם אשתו ושתי בנותיו הקטינות. המנוח הלין על כך שהנאשם "תופס" שתי חניות, ועל רקע זה התפתח ויכוח בין המנוח, שבינתיים ירד מרכבו, ובין מוניקה. משהבחין הנאשם בהתלהטות הרוחות, ומתוך דאגה לאשתו על רקע מצבה הרפואי המורכב, ירד אף הוא מרכבו. הנאשם נטל עימו את תיקו, שבו היה נתון אקדח שאותו החזיק ברישיון, הניח את התיק על גבי תא המטען של הרכב שלו, ופנה לעבר אשתו ולעבר המנוח. באותה עת הדף המנוח את מוניקה, אשר נפלה בסמוך לרכבו של הנאשם, והמנוח פנה לכיוון רכבו. הנאשם ניגש לרכבו, נטל את התיק שלו, הוציא מתוכו את אקדחו, דרך אותו, והתקרב לעבר המנוח שעמד ליד רכבו. </w:t>
      </w:r>
      <w:r>
        <w:rPr>
          <w:rFonts w:ascii="David" w:hAnsi="David"/>
          <w:rtl/>
        </w:rPr>
        <w:lastRenderedPageBreak/>
        <w:t xml:space="preserve">הנאשם ירה במנוח מטווח קצר ופגע בחלק העליון של הירך הימנית שלו. מוניקה והמנוח עצמו ניסו להניא את הנאשם מלהמשיך במעשיו. המנוח זעק לעבר הנאשם: "מה אתה יורה בי?", ואילו אשתו של הנאשם ביקשה ממנו לחדול ממעשיו. ואולם, הנאשם כיוון את האקדח לפלג גופו העליון של המנוח, ולנגד עיניי אשתו של המנוח – דקלה ובנותיו, ירה ירייה נוספת, שפגעה בחזה של המנוח ובריאותיו ופילחה את ליבו. כתוצאה מהירי התמוטט המנוח, וכעבור זמן קצר נקבע מותו. </w:t>
      </w:r>
    </w:p>
    <w:p w:rsidR="00CE70FC" w:rsidRDefault="00CE70FC" w:rsidP="00707B7E">
      <w:pPr>
        <w:spacing w:line="360" w:lineRule="auto"/>
        <w:ind w:left="502"/>
        <w:jc w:val="both"/>
        <w:rPr>
          <w:rFonts w:ascii="David" w:hAnsi="David"/>
          <w:rtl/>
        </w:rPr>
      </w:pPr>
    </w:p>
    <w:p w:rsidR="00707B7E" w:rsidRDefault="00707B7E" w:rsidP="00707B7E">
      <w:pPr>
        <w:spacing w:line="360" w:lineRule="auto"/>
        <w:ind w:left="502"/>
        <w:jc w:val="both"/>
        <w:rPr>
          <w:rFonts w:ascii="David" w:hAnsi="David"/>
          <w:rtl/>
        </w:rPr>
      </w:pPr>
      <w:r>
        <w:rPr>
          <w:rFonts w:ascii="David" w:hAnsi="David"/>
          <w:rtl/>
        </w:rPr>
        <w:t xml:space="preserve">אשר לירי הראשון שפגע בירך של המנוח: בית המשפט דחה את טענת הנאשם בדבר "הגנה עצמית", וקבע, בין היתר, כי בשלב הירי כבר הסתיים אירוע תקיפת מוניקה על ידי המנוח. מוניקה שהייתה מוטלת סמוך לרכב הנאשם, לא הייתה נתונה בסכנה, וכך גם הנאשם עצמו. כמו כן נקבע שבנסיבות העניין לא הייתה הצדקה לנקוט אלימות כלפי המנוח, ולא כל שכן להשתמש בנשק חם. ירי במנוח מטווח קצר, בפרט כשידיו של המנוח היו חשופות, אינו עומד בכל פרופורציה למעשה התקיפה. </w:t>
      </w:r>
    </w:p>
    <w:p w:rsidR="00CE70FC" w:rsidRDefault="00CE70FC" w:rsidP="00707B7E">
      <w:pPr>
        <w:spacing w:line="360" w:lineRule="auto"/>
        <w:ind w:left="502"/>
        <w:jc w:val="both"/>
        <w:rPr>
          <w:rFonts w:ascii="David" w:hAnsi="David"/>
          <w:rtl/>
        </w:rPr>
      </w:pPr>
    </w:p>
    <w:p w:rsidR="00707B7E" w:rsidRDefault="00707B7E" w:rsidP="00707B7E">
      <w:pPr>
        <w:spacing w:line="360" w:lineRule="auto"/>
        <w:ind w:left="502"/>
        <w:jc w:val="both"/>
        <w:rPr>
          <w:rFonts w:ascii="David" w:hAnsi="David"/>
          <w:rtl/>
        </w:rPr>
      </w:pPr>
      <w:r>
        <w:rPr>
          <w:rFonts w:ascii="David" w:hAnsi="David"/>
          <w:rtl/>
        </w:rPr>
        <w:t xml:space="preserve">אשר לירי השני שפגע בחזהו של המנוח, </w:t>
      </w:r>
      <w:r>
        <w:rPr>
          <w:rFonts w:ascii="David" w:hAnsi="David"/>
          <w:u w:val="single"/>
          <w:rtl/>
        </w:rPr>
        <w:t>נדחו הטענות</w:t>
      </w:r>
      <w:r>
        <w:rPr>
          <w:rFonts w:ascii="David" w:hAnsi="David"/>
          <w:rtl/>
        </w:rPr>
        <w:t xml:space="preserve"> של הנאשם, שהן בעיקרן אלה:</w:t>
      </w:r>
    </w:p>
    <w:p w:rsidR="00707B7E" w:rsidRDefault="00707B7E" w:rsidP="00707B7E">
      <w:pPr>
        <w:pStyle w:val="ab"/>
        <w:numPr>
          <w:ilvl w:val="0"/>
          <w:numId w:val="4"/>
        </w:numPr>
        <w:spacing w:line="360" w:lineRule="auto"/>
        <w:ind w:left="935"/>
        <w:jc w:val="both"/>
        <w:rPr>
          <w:rFonts w:ascii="David" w:hAnsi="David" w:cs="David"/>
          <w:sz w:val="24"/>
          <w:szCs w:val="24"/>
          <w:rtl/>
        </w:rPr>
      </w:pPr>
      <w:r>
        <w:rPr>
          <w:rFonts w:ascii="David" w:hAnsi="David" w:cs="David"/>
          <w:sz w:val="24"/>
          <w:szCs w:val="24"/>
          <w:rtl/>
        </w:rPr>
        <w:t xml:space="preserve">בזמן הירי רעדה ידו של הנאשם, וההדק של האקדח נלחץ כתוצאה מפעולה בלתי רצונית שלו. כך גם נדחתה האפשרות שהכדור נפלט כתוצאה ממצבו של הנשק. </w:t>
      </w:r>
    </w:p>
    <w:p w:rsidR="00707B7E" w:rsidRDefault="00707B7E" w:rsidP="00707B7E">
      <w:pPr>
        <w:pStyle w:val="ab"/>
        <w:numPr>
          <w:ilvl w:val="0"/>
          <w:numId w:val="4"/>
        </w:numPr>
        <w:spacing w:line="360" w:lineRule="auto"/>
        <w:ind w:left="935"/>
        <w:jc w:val="both"/>
        <w:rPr>
          <w:rFonts w:ascii="David" w:hAnsi="David" w:cs="David"/>
          <w:sz w:val="24"/>
          <w:szCs w:val="24"/>
          <w:rtl/>
        </w:rPr>
      </w:pPr>
      <w:r>
        <w:rPr>
          <w:rFonts w:ascii="David" w:hAnsi="David" w:cs="David"/>
          <w:sz w:val="24"/>
          <w:szCs w:val="24"/>
          <w:rtl/>
        </w:rPr>
        <w:t xml:space="preserve">הנאשם פעל מתוך "אוטומטיזם שפוי", קרי: הנאשם היה נטול הכרה (או מודעות) אשר לנעשה איתו ומסביבו, ועקב כך לא שלט על תנועותיו. </w:t>
      </w:r>
    </w:p>
    <w:p w:rsidR="00707B7E" w:rsidRDefault="00707B7E" w:rsidP="00707B7E">
      <w:pPr>
        <w:pStyle w:val="ab"/>
        <w:numPr>
          <w:ilvl w:val="0"/>
          <w:numId w:val="4"/>
        </w:numPr>
        <w:spacing w:line="360" w:lineRule="auto"/>
        <w:ind w:left="935"/>
        <w:jc w:val="both"/>
        <w:rPr>
          <w:rFonts w:ascii="David" w:hAnsi="David" w:cs="David"/>
          <w:sz w:val="24"/>
          <w:szCs w:val="24"/>
        </w:rPr>
      </w:pPr>
      <w:r>
        <w:rPr>
          <w:rFonts w:ascii="David" w:hAnsi="David" w:cs="David"/>
          <w:sz w:val="24"/>
          <w:szCs w:val="24"/>
          <w:rtl/>
        </w:rPr>
        <w:t xml:space="preserve">הנאשם פעל מתוך טעות כנה במצב דברים בנוגע לרכיבי ההגנה העצמית – "הגנה עצמית מדומה". </w:t>
      </w:r>
    </w:p>
    <w:p w:rsidR="00707B7E" w:rsidRDefault="00707B7E" w:rsidP="00707B7E">
      <w:pPr>
        <w:pStyle w:val="ab"/>
        <w:spacing w:line="360" w:lineRule="auto"/>
        <w:ind w:left="502"/>
        <w:jc w:val="both"/>
        <w:rPr>
          <w:rFonts w:ascii="David" w:hAnsi="David" w:cs="David"/>
          <w:sz w:val="24"/>
          <w:szCs w:val="24"/>
        </w:rPr>
      </w:pPr>
    </w:p>
    <w:p w:rsidR="00707B7E" w:rsidRDefault="00707B7E" w:rsidP="00707B7E">
      <w:pPr>
        <w:pStyle w:val="ab"/>
        <w:spacing w:after="240" w:line="360" w:lineRule="auto"/>
        <w:ind w:left="502"/>
        <w:jc w:val="both"/>
        <w:rPr>
          <w:rFonts w:ascii="David" w:hAnsi="David" w:cs="David"/>
          <w:color w:val="000000"/>
          <w:sz w:val="24"/>
          <w:szCs w:val="24"/>
        </w:rPr>
      </w:pPr>
      <w:r>
        <w:rPr>
          <w:rFonts w:ascii="David" w:hAnsi="David" w:cs="David"/>
          <w:sz w:val="24"/>
          <w:szCs w:val="24"/>
          <w:rtl/>
        </w:rPr>
        <w:t xml:space="preserve">לעניין היסוד הנפשי קבענו כי בשניות הקריטיות שחלפו בין שתי היריות, נמשכו התחושות הפנימיות של הנאשם. הוא חש דאגה כנה וחרדה של ממש לשלומה של אשתו, חוסר אונים וזעם: "אני ראיתי בהתחלה שאשתי קיבלה מכות ובאמת עלה לי את הדם לראש", כלשונו. אומנם, בהיבט המשפטי גם קבלת החלטה כהרף עין יכולה להתקבל תוך שיקול דעת וחפץ בתוצאה ו/או צפייתה. ברם, על יסוד ניתוח מכלול הראיות באנו לכלל מסקנה כי במקרה דנן לא הוכח מעבר לכל ספק סביר שהנאשם פעל מתוך גיבוש רצון או חפץ במותו של המנוח. בית המשפט התרשם כי במצבו של הנאשם, על רקע הנסיבות שאליהן הוא נקלע ומצבו הנפשי/רגשי המתואר לעיל, הוא לא נתן לעצמו דין וחשבון על תוצאות מעשיו, אלא </w:t>
      </w:r>
      <w:r>
        <w:rPr>
          <w:rFonts w:ascii="David" w:hAnsi="David" w:cs="David"/>
          <w:sz w:val="24"/>
          <w:szCs w:val="24"/>
          <w:u w:val="single"/>
          <w:rtl/>
        </w:rPr>
        <w:t>פעל מתוך אדישות ברף הגבוה כלפי התוצאה</w:t>
      </w:r>
      <w:r>
        <w:rPr>
          <w:rFonts w:ascii="David" w:hAnsi="David" w:cs="David"/>
          <w:sz w:val="24"/>
          <w:szCs w:val="24"/>
          <w:rtl/>
        </w:rPr>
        <w:t xml:space="preserve">, וכאמור, לא מתוך גיבוש רצון או חפץ במותו של המנוח. </w:t>
      </w:r>
    </w:p>
    <w:p w:rsidR="00707B7E" w:rsidRDefault="00707B7E" w:rsidP="00707B7E">
      <w:pPr>
        <w:tabs>
          <w:tab w:val="left" w:pos="509"/>
        </w:tabs>
        <w:ind w:left="509" w:hanging="425"/>
        <w:rPr>
          <w:rFonts w:ascii="David" w:hAnsi="David"/>
          <w:rtl/>
        </w:rPr>
      </w:pPr>
    </w:p>
    <w:p w:rsidR="002F3547" w:rsidRDefault="002F3547" w:rsidP="00707B7E">
      <w:pPr>
        <w:tabs>
          <w:tab w:val="left" w:pos="509"/>
        </w:tabs>
        <w:ind w:left="509" w:hanging="425"/>
        <w:rPr>
          <w:rFonts w:ascii="David" w:hAnsi="David"/>
          <w:b/>
          <w:bCs/>
          <w:rtl/>
        </w:rPr>
      </w:pPr>
    </w:p>
    <w:p w:rsidR="002F3547" w:rsidRDefault="002F3547" w:rsidP="00707B7E">
      <w:pPr>
        <w:tabs>
          <w:tab w:val="left" w:pos="509"/>
        </w:tabs>
        <w:ind w:left="509" w:hanging="425"/>
        <w:rPr>
          <w:rFonts w:ascii="David" w:hAnsi="David"/>
          <w:b/>
          <w:bCs/>
          <w:rtl/>
        </w:rPr>
      </w:pPr>
    </w:p>
    <w:p w:rsidR="002F3547" w:rsidRDefault="002F3547" w:rsidP="00707B7E">
      <w:pPr>
        <w:tabs>
          <w:tab w:val="left" w:pos="509"/>
        </w:tabs>
        <w:ind w:left="509" w:hanging="425"/>
        <w:rPr>
          <w:rFonts w:ascii="David" w:hAnsi="David"/>
          <w:b/>
          <w:bCs/>
          <w:rtl/>
        </w:rPr>
      </w:pPr>
    </w:p>
    <w:p w:rsidR="00707B7E" w:rsidRDefault="00707B7E" w:rsidP="00707B7E">
      <w:pPr>
        <w:tabs>
          <w:tab w:val="left" w:pos="509"/>
        </w:tabs>
        <w:ind w:left="509" w:hanging="425"/>
        <w:rPr>
          <w:rFonts w:ascii="David" w:hAnsi="David"/>
          <w:b/>
          <w:bCs/>
          <w:rtl/>
        </w:rPr>
      </w:pPr>
      <w:r>
        <w:rPr>
          <w:rFonts w:ascii="David" w:hAnsi="David"/>
          <w:b/>
          <w:bCs/>
          <w:rtl/>
        </w:rPr>
        <w:t>תסקיר נפגעי עבירה</w:t>
      </w:r>
    </w:p>
    <w:p w:rsidR="00CB59EE" w:rsidRDefault="00CB59EE" w:rsidP="00707B7E">
      <w:pPr>
        <w:tabs>
          <w:tab w:val="left" w:pos="509"/>
        </w:tabs>
        <w:ind w:left="509" w:hanging="425"/>
        <w:rPr>
          <w:rFonts w:ascii="David" w:hAnsi="David"/>
          <w:u w:val="single"/>
          <w:rtl/>
        </w:rPr>
      </w:pPr>
    </w:p>
    <w:p w:rsidR="00707B7E" w:rsidRDefault="00707B7E" w:rsidP="00707B7E">
      <w:pPr>
        <w:tabs>
          <w:tab w:val="left" w:pos="509"/>
        </w:tabs>
        <w:ind w:left="509" w:hanging="425"/>
        <w:rPr>
          <w:rFonts w:ascii="David" w:hAnsi="David"/>
          <w:u w:val="single"/>
          <w:rtl/>
        </w:rPr>
      </w:pPr>
      <w:r>
        <w:rPr>
          <w:rFonts w:ascii="David" w:hAnsi="David"/>
          <w:u w:val="single"/>
          <w:rtl/>
        </w:rPr>
        <w:t>תסקיר נפגעי עבירה על אודות האלמנה והבנות</w:t>
      </w:r>
    </w:p>
    <w:p w:rsidR="00CB59EE" w:rsidRDefault="00CB59EE" w:rsidP="00707B7E">
      <w:pPr>
        <w:tabs>
          <w:tab w:val="left" w:pos="509"/>
        </w:tabs>
        <w:ind w:left="509" w:hanging="425"/>
        <w:rPr>
          <w:rFonts w:ascii="David" w:hAnsi="David"/>
          <w:u w:val="single"/>
        </w:rPr>
      </w:pPr>
    </w:p>
    <w:p w:rsidR="00707B7E" w:rsidRDefault="00707B7E" w:rsidP="00707B7E">
      <w:pPr>
        <w:numPr>
          <w:ilvl w:val="0"/>
          <w:numId w:val="3"/>
        </w:numPr>
        <w:tabs>
          <w:tab w:val="left" w:pos="509"/>
        </w:tabs>
        <w:spacing w:after="160" w:line="360" w:lineRule="auto"/>
        <w:ind w:left="509" w:hanging="425"/>
        <w:contextualSpacing/>
        <w:jc w:val="both"/>
        <w:rPr>
          <w:rFonts w:ascii="David" w:hAnsi="David"/>
          <w:rtl/>
        </w:rPr>
      </w:pPr>
      <w:r>
        <w:rPr>
          <w:rFonts w:ascii="David" w:hAnsi="David"/>
          <w:rtl/>
        </w:rPr>
        <w:t xml:space="preserve">במותו, הותיר אחריו המנוח את האלמנה דקלה ואת שלוש בנותיו: י', כיום כבת 14; ר', אחותה התאומה; ו-א', כיום כבת 6 (בזמן האירוע הייתה א' תינוקת). שתיים מהבנות סובלות מבעיות רפואיות, והן בעלות צרכים מיוחדים. בתסקיר מפורט מצבן המורכב של שתי הבנות (שתואר גם על ידי האם דקלה בעדותה לעניין העונש), ובין היתר, חוסר היכולת של שתי הבנות לתקשר עם הסביבה. </w:t>
      </w:r>
    </w:p>
    <w:p w:rsidR="00707B7E" w:rsidRDefault="00707B7E" w:rsidP="00707B7E">
      <w:pPr>
        <w:tabs>
          <w:tab w:val="left" w:pos="509"/>
        </w:tabs>
        <w:spacing w:line="360" w:lineRule="auto"/>
        <w:ind w:left="509"/>
        <w:contextualSpacing/>
        <w:jc w:val="both"/>
        <w:rPr>
          <w:rFonts w:ascii="David" w:hAnsi="David"/>
        </w:rPr>
      </w:pPr>
    </w:p>
    <w:p w:rsidR="00707B7E" w:rsidRDefault="00707B7E" w:rsidP="00707B7E">
      <w:pPr>
        <w:tabs>
          <w:tab w:val="left" w:pos="509"/>
        </w:tabs>
        <w:spacing w:line="360" w:lineRule="auto"/>
        <w:ind w:left="509"/>
        <w:contextualSpacing/>
        <w:jc w:val="both"/>
        <w:rPr>
          <w:rFonts w:ascii="David" w:hAnsi="David"/>
          <w:rtl/>
        </w:rPr>
      </w:pPr>
      <w:r>
        <w:rPr>
          <w:rFonts w:ascii="David" w:hAnsi="David"/>
          <w:rtl/>
        </w:rPr>
        <w:t xml:space="preserve">מהתסקיר עולה כי סמוך לאחר האירוע, עוד בהיותה בתחנת המשטרה, התבשרה דקלה שהמנוח אינו בין החיים. דקלה מסרה את הבשורה המרה לשתיים מהבנות, והבת י' הגיבה בצורה קשה וקורעת לב (עמ' 2 לתסקיר). </w:t>
      </w:r>
    </w:p>
    <w:p w:rsidR="00707B7E" w:rsidRDefault="00707B7E" w:rsidP="00707B7E">
      <w:pPr>
        <w:tabs>
          <w:tab w:val="left" w:pos="509"/>
        </w:tabs>
        <w:spacing w:line="360" w:lineRule="auto"/>
        <w:ind w:left="509" w:hanging="425"/>
        <w:contextualSpacing/>
        <w:jc w:val="both"/>
        <w:rPr>
          <w:rFonts w:ascii="David" w:hAnsi="David"/>
          <w:highlight w:val="yellow"/>
          <w:rtl/>
        </w:rPr>
      </w:pPr>
    </w:p>
    <w:p w:rsidR="00707B7E" w:rsidRDefault="00707B7E" w:rsidP="00707B7E">
      <w:pPr>
        <w:numPr>
          <w:ilvl w:val="0"/>
          <w:numId w:val="3"/>
        </w:numPr>
        <w:tabs>
          <w:tab w:val="left" w:pos="509"/>
        </w:tabs>
        <w:spacing w:after="160" w:line="360" w:lineRule="auto"/>
        <w:ind w:left="509" w:hanging="425"/>
        <w:contextualSpacing/>
        <w:jc w:val="both"/>
        <w:rPr>
          <w:rFonts w:ascii="David" w:hAnsi="David"/>
          <w:rtl/>
        </w:rPr>
      </w:pPr>
      <w:r>
        <w:rPr>
          <w:rFonts w:ascii="David" w:hAnsi="David"/>
          <w:u w:val="single"/>
          <w:rtl/>
        </w:rPr>
        <w:t>דקלה – אלמנתו של המנוח</w:t>
      </w:r>
      <w:r>
        <w:rPr>
          <w:rFonts w:ascii="David" w:hAnsi="David"/>
          <w:rtl/>
        </w:rPr>
        <w:t xml:space="preserve">: דקלה תיארה שהמנוח, שהיה אדם דומיננטי, היה איש משפחה מסור, הן לאשתו והן לבנותיו. המנוח טיפל במסירות אין קץ בבנות בעלות הצרכים המיוחדים, לרבות בכל העניינים הבירוקרטיים הקשורים לזכויות ולצרכים המיוחדים שלהן. בהמשך תיארה דקלה שלאחר הרצח, היא חוותה תחושה שבה "לא הייתה לי רצפה מתחת לרגליים". במשך מספר חודשים חל שינוי משמעותי באורחות חייה של דקלה. בשלב מסוים היא הבינה שהיא צריכה "לקחת את עצמה בידיים", והחליטה "להמשיך הלאה" (שם, בעמ' 4). </w:t>
      </w:r>
    </w:p>
    <w:p w:rsidR="00707B7E" w:rsidRDefault="00707B7E" w:rsidP="00707B7E">
      <w:pPr>
        <w:tabs>
          <w:tab w:val="left" w:pos="509"/>
        </w:tabs>
        <w:spacing w:line="360" w:lineRule="auto"/>
        <w:ind w:left="509" w:hanging="425"/>
        <w:contextualSpacing/>
        <w:jc w:val="both"/>
        <w:rPr>
          <w:rFonts w:ascii="David" w:hAnsi="David"/>
          <w:highlight w:val="yellow"/>
          <w:rtl/>
        </w:rPr>
      </w:pPr>
    </w:p>
    <w:p w:rsidR="00707B7E" w:rsidRDefault="00707B7E" w:rsidP="00707B7E">
      <w:pPr>
        <w:numPr>
          <w:ilvl w:val="0"/>
          <w:numId w:val="3"/>
        </w:numPr>
        <w:tabs>
          <w:tab w:val="left" w:pos="509"/>
        </w:tabs>
        <w:spacing w:after="160" w:line="360" w:lineRule="auto"/>
        <w:ind w:left="509" w:hanging="425"/>
        <w:contextualSpacing/>
        <w:jc w:val="both"/>
        <w:rPr>
          <w:rFonts w:ascii="David" w:hAnsi="David"/>
          <w:rtl/>
        </w:rPr>
      </w:pPr>
      <w:r>
        <w:rPr>
          <w:rFonts w:ascii="David" w:hAnsi="David"/>
          <w:u w:val="single"/>
          <w:rtl/>
        </w:rPr>
        <w:t>י' – בתו של המנוח</w:t>
      </w:r>
      <w:r>
        <w:rPr>
          <w:rFonts w:ascii="David" w:hAnsi="David"/>
          <w:rtl/>
        </w:rPr>
        <w:t xml:space="preserve">: י', שהייתה עדת ראייה לרצח, תיארה כי מותו של אביה היווה עבורה נקודת שבר אשר מלווה אותה עד היום. במשך מספר חודשים התקשתה י' לצאת מהבית והרבתה לבכות, ובמיוחד נמנעה מלהגיע למקומות שעוררו אצלה זיכרונות על-אודות המנוח. י' תיארה את מצבה הרגשי הקשה, ובין היתר, הצפת זיכרונות של האירוע, אובדן שמחת החיים, קשיי שינה שהשפיעו על תפקודה, וכן מחשבות על המוות הסתמי של האב. </w:t>
      </w:r>
    </w:p>
    <w:p w:rsidR="00707B7E" w:rsidRDefault="00707B7E" w:rsidP="00707B7E">
      <w:pPr>
        <w:tabs>
          <w:tab w:val="left" w:pos="509"/>
        </w:tabs>
        <w:spacing w:line="360" w:lineRule="auto"/>
        <w:ind w:left="509"/>
        <w:contextualSpacing/>
        <w:jc w:val="both"/>
        <w:rPr>
          <w:rFonts w:ascii="David" w:hAnsi="David"/>
          <w:rtl/>
        </w:rPr>
      </w:pPr>
      <w:r>
        <w:rPr>
          <w:rFonts w:ascii="David" w:hAnsi="David"/>
          <w:rtl/>
        </w:rPr>
        <w:t xml:space="preserve">דקלה דיווחה על-אודות מצבה הנפשי המדאיג של י'. עורכות התסקיר מדגישות כי כאשר ילד חווה מוות אלים או פתאומי של הורה, תקופת האבל הופכת להיות מורכבת יותר. בנוסף, שיתפה י' בתחושת האשם שחשה מאז הירצחו של אביה. עורכות התסקיר מציינות כי תחושות אשם נפוצות גם אצל ילדים (שם, בעמ' 5-4). </w:t>
      </w:r>
    </w:p>
    <w:p w:rsidR="00707B7E" w:rsidRDefault="00707B7E" w:rsidP="00707B7E">
      <w:pPr>
        <w:tabs>
          <w:tab w:val="left" w:pos="509"/>
        </w:tabs>
        <w:spacing w:line="360" w:lineRule="auto"/>
        <w:ind w:left="509" w:hanging="425"/>
        <w:contextualSpacing/>
        <w:jc w:val="both"/>
        <w:rPr>
          <w:rFonts w:ascii="David" w:hAnsi="David"/>
          <w:rtl/>
        </w:rPr>
      </w:pPr>
    </w:p>
    <w:p w:rsidR="00707B7E" w:rsidRDefault="00707B7E" w:rsidP="00707B7E">
      <w:pPr>
        <w:numPr>
          <w:ilvl w:val="0"/>
          <w:numId w:val="3"/>
        </w:numPr>
        <w:tabs>
          <w:tab w:val="left" w:pos="509"/>
        </w:tabs>
        <w:spacing w:after="160" w:line="360" w:lineRule="auto"/>
        <w:ind w:left="509" w:hanging="425"/>
        <w:contextualSpacing/>
        <w:jc w:val="both"/>
        <w:rPr>
          <w:rFonts w:ascii="David" w:hAnsi="David"/>
          <w:rtl/>
        </w:rPr>
      </w:pPr>
      <w:r>
        <w:rPr>
          <w:rFonts w:ascii="David" w:hAnsi="David"/>
          <w:u w:val="single"/>
          <w:rtl/>
        </w:rPr>
        <w:t>התייחסותן של דקלה ו-י' להליך הפלילי ולעונש</w:t>
      </w:r>
      <w:r>
        <w:rPr>
          <w:rFonts w:ascii="David" w:hAnsi="David"/>
          <w:rtl/>
        </w:rPr>
        <w:t xml:space="preserve">: דקלה שיתפה שהיא נכחה בכל הדיונים שהתקיימו בבית המשפט, על אף שהדבר לווה בקושי רב עבורה, ובמיוחד המפגש הפיזי עם הנאשם. בהקשר זה היא הדגישה שהמנוח נרצח "על שטויות". </w:t>
      </w:r>
    </w:p>
    <w:p w:rsidR="00707B7E" w:rsidRDefault="00707B7E" w:rsidP="00707B7E">
      <w:pPr>
        <w:tabs>
          <w:tab w:val="left" w:pos="509"/>
        </w:tabs>
        <w:spacing w:line="360" w:lineRule="auto"/>
        <w:ind w:left="509"/>
        <w:contextualSpacing/>
        <w:jc w:val="both"/>
        <w:rPr>
          <w:rFonts w:ascii="David" w:hAnsi="David"/>
          <w:rtl/>
        </w:rPr>
      </w:pPr>
      <w:r>
        <w:rPr>
          <w:rFonts w:ascii="David" w:hAnsi="David"/>
          <w:rtl/>
        </w:rPr>
        <w:lastRenderedPageBreak/>
        <w:t xml:space="preserve">י' שיתפה שחשוב לה לומר את דברה בשלב הטיעונים לעונש. היא הדגישה את הכאב שהיא חשה מכך שהנאשם חופשי, בעוד שחייה וחיי בני משפחתה התפרקו. </w:t>
      </w:r>
    </w:p>
    <w:p w:rsidR="00707B7E" w:rsidRDefault="00707B7E" w:rsidP="00707B7E">
      <w:pPr>
        <w:tabs>
          <w:tab w:val="left" w:pos="509"/>
        </w:tabs>
        <w:spacing w:line="360" w:lineRule="auto"/>
        <w:ind w:left="509"/>
        <w:contextualSpacing/>
        <w:jc w:val="both"/>
        <w:rPr>
          <w:rFonts w:ascii="David" w:hAnsi="David"/>
          <w:rtl/>
        </w:rPr>
      </w:pPr>
      <w:r>
        <w:rPr>
          <w:rFonts w:ascii="David" w:hAnsi="David"/>
          <w:rtl/>
        </w:rPr>
        <w:t>דקלה הביעה משאלה שהנאשם ייענש בחומרה על מנת שהנאשם ומשפחתו יחושו גם הם את גודל הכאב.</w:t>
      </w:r>
    </w:p>
    <w:p w:rsidR="00707B7E" w:rsidRDefault="00707B7E" w:rsidP="00707B7E">
      <w:pPr>
        <w:tabs>
          <w:tab w:val="left" w:pos="509"/>
        </w:tabs>
        <w:spacing w:line="360" w:lineRule="auto"/>
        <w:ind w:left="509" w:hanging="425"/>
        <w:contextualSpacing/>
        <w:jc w:val="both"/>
        <w:rPr>
          <w:rFonts w:ascii="David" w:hAnsi="David"/>
          <w:highlight w:val="yellow"/>
          <w:rtl/>
        </w:rPr>
      </w:pPr>
    </w:p>
    <w:p w:rsidR="00707B7E" w:rsidRDefault="00707B7E" w:rsidP="00707B7E">
      <w:pPr>
        <w:numPr>
          <w:ilvl w:val="0"/>
          <w:numId w:val="3"/>
        </w:numPr>
        <w:tabs>
          <w:tab w:val="left" w:pos="509"/>
        </w:tabs>
        <w:spacing w:after="160" w:line="360" w:lineRule="auto"/>
        <w:ind w:left="509" w:hanging="425"/>
        <w:contextualSpacing/>
        <w:jc w:val="both"/>
        <w:rPr>
          <w:rFonts w:ascii="David" w:hAnsi="David"/>
          <w:rtl/>
        </w:rPr>
      </w:pPr>
      <w:r>
        <w:rPr>
          <w:rFonts w:ascii="David" w:hAnsi="David"/>
          <w:u w:val="single"/>
          <w:rtl/>
        </w:rPr>
        <w:t>סיכום</w:t>
      </w:r>
      <w:r>
        <w:rPr>
          <w:rFonts w:ascii="David" w:hAnsi="David"/>
          <w:rtl/>
        </w:rPr>
        <w:t>: בלכתו הותיר אחריו המנוח חלל גדול, שאותו מתקשה דקלה למלא. עם זאת, החליטה דקלה "לבחור בחיים", לטובת בנותיה, הנדרשות לטיפול אינטנסיבי ומסור. הבת י' שהייתה קשורה מאוד לאביה, חווה תחושות קשות מעצם והאובדן. כמו כן, לעצם היותה עדה לאירוע הרצח ישנן השלכות משמעותיות על נפשה. ניכר כי האובדן הטראומטי של הבעל והאב ימשיכו ללוות את השתיים לאורך חייהן.</w:t>
      </w:r>
    </w:p>
    <w:p w:rsidR="00707B7E" w:rsidRDefault="00707B7E" w:rsidP="00707B7E">
      <w:pPr>
        <w:tabs>
          <w:tab w:val="left" w:pos="509"/>
        </w:tabs>
        <w:spacing w:line="360" w:lineRule="auto"/>
        <w:ind w:left="509" w:hanging="425"/>
        <w:contextualSpacing/>
        <w:jc w:val="both"/>
        <w:rPr>
          <w:rFonts w:ascii="David" w:hAnsi="David"/>
        </w:rPr>
      </w:pPr>
    </w:p>
    <w:p w:rsidR="00707B7E" w:rsidRDefault="00707B7E" w:rsidP="00707B7E">
      <w:pPr>
        <w:tabs>
          <w:tab w:val="left" w:pos="509"/>
        </w:tabs>
        <w:ind w:left="509" w:hanging="425"/>
        <w:rPr>
          <w:rFonts w:ascii="David" w:hAnsi="David"/>
          <w:u w:val="single"/>
          <w:rtl/>
        </w:rPr>
      </w:pPr>
      <w:r>
        <w:rPr>
          <w:rFonts w:ascii="David" w:hAnsi="David"/>
          <w:u w:val="single"/>
          <w:rtl/>
        </w:rPr>
        <w:t>תסקיר נפגעי עבירה על אודות אמו של המנוח ואחותו ימית</w:t>
      </w:r>
    </w:p>
    <w:p w:rsidR="002F3547" w:rsidRDefault="002F3547" w:rsidP="00707B7E">
      <w:pPr>
        <w:tabs>
          <w:tab w:val="left" w:pos="509"/>
        </w:tabs>
        <w:ind w:left="509" w:hanging="425"/>
        <w:rPr>
          <w:rFonts w:ascii="David" w:hAnsi="David"/>
          <w:u w:val="single"/>
          <w:rtl/>
        </w:rPr>
      </w:pPr>
    </w:p>
    <w:p w:rsidR="00707B7E" w:rsidRDefault="00707B7E" w:rsidP="00707B7E">
      <w:pPr>
        <w:numPr>
          <w:ilvl w:val="0"/>
          <w:numId w:val="3"/>
        </w:numPr>
        <w:tabs>
          <w:tab w:val="left" w:pos="509"/>
        </w:tabs>
        <w:spacing w:after="160" w:line="360" w:lineRule="auto"/>
        <w:ind w:left="509" w:hanging="425"/>
        <w:contextualSpacing/>
        <w:jc w:val="both"/>
        <w:rPr>
          <w:rFonts w:ascii="David" w:hAnsi="David"/>
          <w:rtl/>
        </w:rPr>
      </w:pPr>
      <w:r>
        <w:rPr>
          <w:rFonts w:ascii="David" w:hAnsi="David"/>
          <w:rtl/>
        </w:rPr>
        <w:t xml:space="preserve">המנוח היה הבן הצעיר מבין ארבעת הילדים שנולדו להוריו. במותו, לפני כארבע שנים, היה המנוח כבן 42. המנוח שירת בצה"ל כלוחם בגבעתי. בהמשך, נישא המנוח ונולדו לו שלוש בנות, ששתיים מהן מתמודדות עם צרכים מיוחדים. אחותו של המנוח תיארה את המנוח כאיש משפחה מסור, הן כבן זוג והן כאב, וכמי שטיפל בבנותיו במסירות אין קץ. המנוח שעבד כמאבטח היה אדם חרוץ שדאג לפרנסת בני המשפחה. </w:t>
      </w:r>
    </w:p>
    <w:p w:rsidR="00707B7E" w:rsidRDefault="00707B7E" w:rsidP="00707B7E">
      <w:pPr>
        <w:tabs>
          <w:tab w:val="left" w:pos="509"/>
        </w:tabs>
        <w:spacing w:line="360" w:lineRule="auto"/>
        <w:ind w:left="509" w:hanging="425"/>
        <w:contextualSpacing/>
        <w:jc w:val="both"/>
        <w:rPr>
          <w:rFonts w:ascii="David" w:hAnsi="David"/>
        </w:rPr>
      </w:pPr>
    </w:p>
    <w:p w:rsidR="00707B7E" w:rsidRDefault="00707B7E" w:rsidP="00707B7E">
      <w:pPr>
        <w:numPr>
          <w:ilvl w:val="0"/>
          <w:numId w:val="3"/>
        </w:numPr>
        <w:tabs>
          <w:tab w:val="left" w:pos="509"/>
        </w:tabs>
        <w:spacing w:after="160" w:line="360" w:lineRule="auto"/>
        <w:ind w:left="509" w:hanging="425"/>
        <w:contextualSpacing/>
        <w:jc w:val="both"/>
        <w:rPr>
          <w:rFonts w:ascii="David" w:hAnsi="David"/>
          <w:rtl/>
        </w:rPr>
      </w:pPr>
      <w:r>
        <w:rPr>
          <w:rFonts w:ascii="David" w:hAnsi="David"/>
          <w:rtl/>
        </w:rPr>
        <w:t>אביו של המנוח נפטר לפני כשנה, לאחר שחלה הידרדרות חמורה במצב בריאותו. ימית תיארה את מצבו הרגשי הקשה של האב המנוח על רקע אובדן בנו שהשפיע גם על בני המשפחה, כשבד בבד הדרדר מצבו הבריאותי (ע' 4 לתסקיר).</w:t>
      </w:r>
    </w:p>
    <w:p w:rsidR="00707B7E" w:rsidRDefault="00707B7E" w:rsidP="00707B7E">
      <w:pPr>
        <w:tabs>
          <w:tab w:val="left" w:pos="509"/>
        </w:tabs>
        <w:spacing w:line="360" w:lineRule="auto"/>
        <w:ind w:left="509" w:hanging="425"/>
        <w:contextualSpacing/>
        <w:jc w:val="both"/>
        <w:rPr>
          <w:rFonts w:ascii="David" w:hAnsi="David"/>
        </w:rPr>
      </w:pPr>
    </w:p>
    <w:p w:rsidR="00707B7E" w:rsidRDefault="00707B7E" w:rsidP="00707B7E">
      <w:pPr>
        <w:numPr>
          <w:ilvl w:val="0"/>
          <w:numId w:val="3"/>
        </w:numPr>
        <w:tabs>
          <w:tab w:val="left" w:pos="509"/>
        </w:tabs>
        <w:spacing w:after="160" w:line="360" w:lineRule="auto"/>
        <w:ind w:left="509" w:hanging="425"/>
        <w:contextualSpacing/>
        <w:jc w:val="both"/>
        <w:rPr>
          <w:rFonts w:ascii="David" w:hAnsi="David"/>
        </w:rPr>
      </w:pPr>
      <w:r>
        <w:rPr>
          <w:rFonts w:ascii="David" w:hAnsi="David"/>
          <w:rtl/>
        </w:rPr>
        <w:t>האם והאחות ביטאו את תחושת האובדן הקשה שחוו, חוויה שהועצמה בשל הנסיבות הטראגיות, המיותרות והפתאומיות שבהן מצא המנוח את מותו (שם, בע' 1). התקופה שבה התנהל ההליך המשפטי הייתה קשה עבור האם והאחות, ששתיהן מצויות במצב נפשי קשה, שבא לידי ביטוי גם בקשר עם עורכת התסקיר (שם, בע' 2). האחות דיווחה כי דבר האסון פורסם ברשתות החברתיות עוד בטרם נמסרה להורים בשורת האיוב. הליך החשיפה לאסון הכבד ללא תווך גורמי מקצוע החמיר את הטראומה שחוו בני המשפחה. בני משפחת המוצא חשו חוסר כבוד כלפיהם מכך שבחוויה שלהן התמקדה התקשורת באלמנת המנוח ובבנותיו (שם, בע' 3). מאז אובדן המנוח, שמחת החיים של בני המשפחה ותחושת הלכידות התחלפו בריחוק ובעצב (שם, בע' 4). האם והאחות אינן מצליחות להתחיל את תהליך האיחוי. השתיים סבורות כי על הנאשם להיענש בחומרה, מה שיחזיר להן, ולו במעט, את תחושת הצדק (שם, בע' 7).</w:t>
      </w:r>
    </w:p>
    <w:p w:rsidR="00707B7E" w:rsidRDefault="00707B7E" w:rsidP="00707B7E">
      <w:pPr>
        <w:tabs>
          <w:tab w:val="left" w:pos="509"/>
        </w:tabs>
        <w:spacing w:line="360" w:lineRule="auto"/>
        <w:ind w:left="509" w:hanging="425"/>
        <w:contextualSpacing/>
        <w:jc w:val="both"/>
        <w:rPr>
          <w:rFonts w:ascii="David" w:hAnsi="David"/>
          <w:rtl/>
        </w:rPr>
      </w:pPr>
    </w:p>
    <w:p w:rsidR="00707B7E" w:rsidRDefault="00707B7E" w:rsidP="00707B7E">
      <w:pPr>
        <w:numPr>
          <w:ilvl w:val="0"/>
          <w:numId w:val="3"/>
        </w:numPr>
        <w:tabs>
          <w:tab w:val="left" w:pos="509"/>
        </w:tabs>
        <w:spacing w:after="160" w:line="360" w:lineRule="auto"/>
        <w:ind w:left="509" w:hanging="425"/>
        <w:contextualSpacing/>
        <w:jc w:val="both"/>
        <w:rPr>
          <w:rFonts w:ascii="David" w:hAnsi="David"/>
        </w:rPr>
      </w:pPr>
      <w:r>
        <w:rPr>
          <w:rFonts w:ascii="David" w:hAnsi="David"/>
          <w:u w:val="single"/>
          <w:rtl/>
        </w:rPr>
        <w:lastRenderedPageBreak/>
        <w:t>אמו של המנוח</w:t>
      </w:r>
      <w:r>
        <w:rPr>
          <w:rFonts w:ascii="David" w:hAnsi="David"/>
          <w:rtl/>
        </w:rPr>
        <w:t>: המנוח היה בנה הצעיר של האם. בתסקיר מתוארת חוויה עוצמתית של האובדן והכאב אשר השפיעה על האם בכל מישורי חייה (נפשית ובריאותית). מתוארות תחושות קשות של שבר שכתוצאה ממנו אבדה שגרת החיים של האם כפי שהייתה עובר לאסון שפקד אותה, ייאוש ואובדן משמעות לחיים (שם, בע' 5-4, ע' 7).</w:t>
      </w:r>
    </w:p>
    <w:p w:rsidR="00707B7E" w:rsidRDefault="00707B7E" w:rsidP="00707B7E">
      <w:pPr>
        <w:tabs>
          <w:tab w:val="left" w:pos="509"/>
        </w:tabs>
        <w:spacing w:line="360" w:lineRule="auto"/>
        <w:ind w:left="509" w:hanging="425"/>
        <w:contextualSpacing/>
        <w:jc w:val="both"/>
        <w:rPr>
          <w:rFonts w:ascii="David" w:hAnsi="David"/>
          <w:rtl/>
        </w:rPr>
      </w:pPr>
    </w:p>
    <w:p w:rsidR="00707B7E" w:rsidRDefault="00707B7E" w:rsidP="00707B7E">
      <w:pPr>
        <w:numPr>
          <w:ilvl w:val="0"/>
          <w:numId w:val="3"/>
        </w:numPr>
        <w:tabs>
          <w:tab w:val="left" w:pos="509"/>
        </w:tabs>
        <w:spacing w:after="160" w:line="360" w:lineRule="auto"/>
        <w:ind w:left="509" w:hanging="425"/>
        <w:contextualSpacing/>
        <w:jc w:val="both"/>
        <w:rPr>
          <w:rFonts w:ascii="David" w:hAnsi="David"/>
        </w:rPr>
      </w:pPr>
      <w:r>
        <w:rPr>
          <w:rFonts w:ascii="David" w:hAnsi="David"/>
          <w:u w:val="single"/>
          <w:rtl/>
        </w:rPr>
        <w:t>אחותו של המנוח</w:t>
      </w:r>
      <w:r>
        <w:rPr>
          <w:rFonts w:ascii="David" w:hAnsi="David"/>
          <w:rtl/>
        </w:rPr>
        <w:t>: המנוח היה אחיה הצעיר של ימית. לאורך השנים חשה ימית אחריות לרווחתו ולשלומו של המנוח שבוטאה במעשים, מה שכשלעצמו מעצים את הנזק הנפשי של ימית (שם, בע' 6-5). בתסקיר מתואר מצבה הנפשי הקשה של ימית, גם על רקע מצבה של האם ונסיבות הקשורות בדינמיקה המשפחתית (שם, בע' 6). ימית דיווחה על מצוקה גם על רקע אובדן אמון במוסדות המדינה ובבני אדם בכלל. לתפיסתה, הנאשם אינו נוטל אחריות למעשיו ואינו מגלה אמפתיה כלפי המשפחה הנפגעת (שם, בע' 7).</w:t>
      </w:r>
    </w:p>
    <w:p w:rsidR="00707B7E" w:rsidRDefault="00707B7E" w:rsidP="00707B7E">
      <w:pPr>
        <w:pStyle w:val="ab"/>
        <w:rPr>
          <w:rFonts w:ascii="David" w:hAnsi="David" w:cs="David"/>
          <w:sz w:val="24"/>
          <w:szCs w:val="24"/>
        </w:rPr>
      </w:pPr>
    </w:p>
    <w:p w:rsidR="00707B7E" w:rsidRDefault="00707B7E" w:rsidP="00707B7E">
      <w:pPr>
        <w:tabs>
          <w:tab w:val="left" w:pos="509"/>
        </w:tabs>
        <w:ind w:left="509" w:hanging="425"/>
        <w:rPr>
          <w:rFonts w:ascii="David" w:hAnsi="David"/>
          <w:b/>
          <w:bCs/>
          <w:rtl/>
        </w:rPr>
      </w:pPr>
      <w:r>
        <w:rPr>
          <w:rFonts w:ascii="David" w:hAnsi="David"/>
          <w:b/>
          <w:bCs/>
          <w:rtl/>
        </w:rPr>
        <w:t>תסקיר בעניינו של הנאשם</w:t>
      </w:r>
    </w:p>
    <w:p w:rsidR="002F3547" w:rsidRDefault="002F3547" w:rsidP="00707B7E">
      <w:pPr>
        <w:tabs>
          <w:tab w:val="left" w:pos="509"/>
        </w:tabs>
        <w:ind w:left="509" w:hanging="425"/>
        <w:rPr>
          <w:rFonts w:ascii="David" w:hAnsi="David"/>
          <w:b/>
          <w:bCs/>
          <w:rtl/>
        </w:rPr>
      </w:pPr>
    </w:p>
    <w:p w:rsidR="00707B7E" w:rsidRDefault="00707B7E" w:rsidP="00707B7E">
      <w:pPr>
        <w:numPr>
          <w:ilvl w:val="0"/>
          <w:numId w:val="3"/>
        </w:numPr>
        <w:tabs>
          <w:tab w:val="left" w:pos="509"/>
        </w:tabs>
        <w:spacing w:after="160" w:line="360" w:lineRule="auto"/>
        <w:ind w:left="509" w:hanging="425"/>
        <w:contextualSpacing/>
        <w:jc w:val="both"/>
        <w:rPr>
          <w:rFonts w:ascii="David" w:hAnsi="David"/>
        </w:rPr>
      </w:pPr>
      <w:r>
        <w:rPr>
          <w:rFonts w:ascii="David" w:hAnsi="David"/>
          <w:rtl/>
        </w:rPr>
        <w:t>הנאשם הוא יליד שנת 1945. בזמן ביצוע העבירה היה הנאשם כבן 74, וכיום הוא כבן 79 שנים. הנאשם הוא יליד אורוגוואי שעלה ארצה בצעירותו, נשוי, אב לילדים וסב לנכדים. לאורך השנים ניהל הנאשם אורח חיים נורמטיבי לרבות במישור התעסוקתי. במהלך השנים עבדו הנאשם ואשתו כנהגי מונית, ובאותה תקופה, על רקע החשש של הנאשם מאירועי שוד, הוציא רישיון נשק. הנאשם חידש את רישיון הנשק גם לאחר שחדל לעבוד כנהג מונית, והמשיך להחזיק בנשק עד יום האירוע, על אף הידרדרות במצבו הרפואי. הנאשם לא הסביר את הבחירה שלו בהמשך החזקת הנשק. אשתו של הנאשם ציינה כי במהלך תקופה ממושכת, עוד לפני מועד ביצוע העבירה, הייתה אי הסכמה בינה ובין הנאשם בנוגע להחזקת הנשק גם לאחר שהנאשם הפסיק את עבודתו כנהג מונית, והיא והתקשתה להבין את תחושת הביטחון שהקנתה לו החזקת הנשק (ע' 1 ו-4 (פסקה 2) לתסקיר).</w:t>
      </w:r>
    </w:p>
    <w:p w:rsidR="00707B7E" w:rsidRDefault="00707B7E" w:rsidP="00707B7E">
      <w:pPr>
        <w:tabs>
          <w:tab w:val="left" w:pos="509"/>
        </w:tabs>
        <w:spacing w:line="360" w:lineRule="auto"/>
        <w:ind w:left="509" w:hanging="425"/>
        <w:contextualSpacing/>
        <w:jc w:val="both"/>
        <w:rPr>
          <w:rFonts w:ascii="David" w:hAnsi="David"/>
        </w:rPr>
      </w:pPr>
    </w:p>
    <w:p w:rsidR="00707B7E" w:rsidRDefault="00707B7E" w:rsidP="00707B7E">
      <w:pPr>
        <w:numPr>
          <w:ilvl w:val="0"/>
          <w:numId w:val="3"/>
        </w:numPr>
        <w:tabs>
          <w:tab w:val="left" w:pos="509"/>
        </w:tabs>
        <w:spacing w:after="160" w:line="360" w:lineRule="auto"/>
        <w:ind w:left="509" w:hanging="425"/>
        <w:contextualSpacing/>
        <w:jc w:val="both"/>
        <w:rPr>
          <w:rFonts w:ascii="David" w:hAnsi="David"/>
          <w:rtl/>
        </w:rPr>
      </w:pPr>
      <w:r>
        <w:rPr>
          <w:rFonts w:ascii="David" w:hAnsi="David"/>
          <w:rtl/>
        </w:rPr>
        <w:t>בתסקיר יש התייחסות למצבו הרפואי של הנאשם, לרבות במישור הנפשי. הנאשם ביטא תחושות של תסכול וחוסר ודאות על רקע מצבו הבריאותי, חוויה של חולשה, חוסר אונים ופגיעות (שם, בע' 3-2). יוער כי גם בשלב שמיעת הראיות הוגשו לנו מסמכים על אודות מצבו הרפואי של הנאשם והתייחסנו לכך בהכרעת הדין (בקשר למצבו בעת ביצוע העבירה). כמו כן, שיתף הנאשם את שירות המבחן כי מאז מועד ביצוע העבירה הוא סובל מקשיי שינה וממצב רוח ירוד. הוא ביטא הבנה שעליו לשאת בתוצאות מעשיו, לצד החשש כי יתקשה להתמודד עם מאסר ממושך, בעיקר לנוכח מצבו הבריאותי המורכב (שם, בע' 4, פסקה ראשונה).</w:t>
      </w:r>
    </w:p>
    <w:p w:rsidR="00707B7E" w:rsidRDefault="00707B7E" w:rsidP="00707B7E">
      <w:pPr>
        <w:tabs>
          <w:tab w:val="left" w:pos="509"/>
        </w:tabs>
        <w:spacing w:line="360" w:lineRule="auto"/>
        <w:ind w:left="509" w:hanging="425"/>
        <w:contextualSpacing/>
        <w:jc w:val="both"/>
        <w:rPr>
          <w:rFonts w:ascii="David" w:hAnsi="David"/>
        </w:rPr>
      </w:pPr>
    </w:p>
    <w:p w:rsidR="00707B7E" w:rsidRDefault="00707B7E" w:rsidP="00707B7E">
      <w:pPr>
        <w:tabs>
          <w:tab w:val="left" w:pos="509"/>
        </w:tabs>
        <w:spacing w:line="360" w:lineRule="auto"/>
        <w:ind w:left="509"/>
        <w:contextualSpacing/>
        <w:jc w:val="both"/>
        <w:rPr>
          <w:rFonts w:ascii="David" w:hAnsi="David"/>
        </w:rPr>
      </w:pPr>
      <w:r>
        <w:rPr>
          <w:rFonts w:ascii="David" w:hAnsi="David"/>
          <w:rtl/>
        </w:rPr>
        <w:lastRenderedPageBreak/>
        <w:t>עוד מתייחס התסקיר למצבה הרפואי המורכב של אשת הנאשם (גם לנקודה זו התייחסנו בהכרעת הדין). בנם של בני הזוג סובל מבעיה רפואית המגבילה את תפקודו, הוא מתגורר עם הוריו ובעצמו זקוק לסיוע (שם, בע' 2). בת נוספת, נשואה ואם לילדים.</w:t>
      </w:r>
    </w:p>
    <w:p w:rsidR="00707B7E" w:rsidRDefault="00707B7E" w:rsidP="00707B7E">
      <w:pPr>
        <w:tabs>
          <w:tab w:val="left" w:pos="509"/>
        </w:tabs>
        <w:spacing w:line="360" w:lineRule="auto"/>
        <w:ind w:left="509" w:hanging="425"/>
        <w:contextualSpacing/>
        <w:jc w:val="both"/>
        <w:rPr>
          <w:rFonts w:ascii="David" w:hAnsi="David"/>
          <w:highlight w:val="yellow"/>
          <w:rtl/>
        </w:rPr>
      </w:pPr>
    </w:p>
    <w:p w:rsidR="00707B7E" w:rsidRDefault="00707B7E" w:rsidP="00707B7E">
      <w:pPr>
        <w:numPr>
          <w:ilvl w:val="0"/>
          <w:numId w:val="3"/>
        </w:numPr>
        <w:tabs>
          <w:tab w:val="left" w:pos="509"/>
        </w:tabs>
        <w:spacing w:after="160" w:line="360" w:lineRule="auto"/>
        <w:ind w:left="509" w:hanging="425"/>
        <w:contextualSpacing/>
        <w:jc w:val="both"/>
        <w:rPr>
          <w:rFonts w:ascii="David" w:hAnsi="David"/>
        </w:rPr>
      </w:pPr>
      <w:r>
        <w:rPr>
          <w:rFonts w:ascii="David" w:hAnsi="David"/>
          <w:rtl/>
        </w:rPr>
        <w:t>מערכת היחסים בין הנאשם ואשתו: אשתו של הנאשם היוותה ומהווה עוגן עבור הנאשם, ויחסו של הנאשם אליה מאופיין ברמת תלות גבוהה, כשברקע הקושי של הנאשם להתמודד עם ההידרדרות במצבה הבריאותי. לנוכח גזר הדין הצפוי לנאשם, הוא ביטא חרדה ממשית מפני אובדן הקשר עם אשתו (שם, בע' 2). כך גם ביטאה אשתו של הנאשם דאגה עמוקה לנאשם, לנוכח גילו המתקדם ומצבו הרפואי, והביעה חשש כי הפרידה ביניהם תהיה בלתי הפיכה עבור שניהם (שם, בע' 4).</w:t>
      </w:r>
    </w:p>
    <w:p w:rsidR="00707B7E" w:rsidRDefault="00707B7E" w:rsidP="00707B7E">
      <w:pPr>
        <w:tabs>
          <w:tab w:val="left" w:pos="509"/>
        </w:tabs>
        <w:spacing w:line="360" w:lineRule="auto"/>
        <w:ind w:left="509"/>
        <w:contextualSpacing/>
        <w:jc w:val="both"/>
        <w:rPr>
          <w:rFonts w:ascii="David" w:hAnsi="David"/>
        </w:rPr>
      </w:pPr>
    </w:p>
    <w:p w:rsidR="00707B7E" w:rsidRDefault="00707B7E" w:rsidP="00707B7E">
      <w:pPr>
        <w:numPr>
          <w:ilvl w:val="0"/>
          <w:numId w:val="3"/>
        </w:numPr>
        <w:tabs>
          <w:tab w:val="left" w:pos="509"/>
        </w:tabs>
        <w:spacing w:after="160" w:line="360" w:lineRule="auto"/>
        <w:ind w:left="509" w:hanging="425"/>
        <w:contextualSpacing/>
        <w:jc w:val="both"/>
        <w:rPr>
          <w:rFonts w:ascii="David" w:hAnsi="David"/>
          <w:rtl/>
        </w:rPr>
      </w:pPr>
      <w:r>
        <w:rPr>
          <w:rFonts w:ascii="David" w:hAnsi="David"/>
          <w:u w:val="single"/>
          <w:rtl/>
        </w:rPr>
        <w:t>יחסו של הנאשם לעבירה שבה הורשע</w:t>
      </w:r>
      <w:r>
        <w:rPr>
          <w:rFonts w:ascii="David" w:hAnsi="David"/>
          <w:rtl/>
        </w:rPr>
        <w:t>: הנאשם טען שהוא מתקשה לזכור את כל פרטי האירוע באופן מדויק. הוא התקשה להסביר את הרקע למעשיו ולבחירתו ליטול את האקדח מהרכב, מלבד הצורך להגן על עצמו ועל אשתו וכן החרדה לשלומה. גם כיום מתקשה הנאשם לבחון חלופות אחרות לבחירותיו ולהתנהלותו. על אף הקושי שביטא הנאשם לזכור את פרטי האירוע באופן מדויק והכעס שביטא כלפי המנוח על התנהלותו כלפי אשתו (של הנאשם) עובר לירי, ביטא הנאשם צער וחרטה על השימוש בנשק, כמו גם על התוצאה הטראגית של מעשיו. הנאשם התייחס לכך שבמעשיו הביא להרס שתי משפחות: של המנוח ושלו. לדבריו, בכל יום ויום הוא חושב על המנוח ובנותיו (שם, ע' 3 פסקה אחרונה עד ע' 4, פסקה ראשונה). שירות המבחן התרשם כי הנאשם מכיר בחומרת מעשיו וכי הצער, הכאב שהוא מבטא כלפי משפחת המנוח והאמפתיה לצערם, הם אותנטיים (שם, בע' 5 למעלה).</w:t>
      </w:r>
    </w:p>
    <w:p w:rsidR="00707B7E" w:rsidRDefault="00707B7E" w:rsidP="00707B7E">
      <w:pPr>
        <w:tabs>
          <w:tab w:val="left" w:pos="509"/>
        </w:tabs>
        <w:spacing w:line="360" w:lineRule="auto"/>
        <w:ind w:left="509" w:hanging="425"/>
        <w:contextualSpacing/>
        <w:jc w:val="both"/>
        <w:rPr>
          <w:rFonts w:ascii="David" w:hAnsi="David"/>
        </w:rPr>
      </w:pPr>
    </w:p>
    <w:p w:rsidR="00707B7E" w:rsidRDefault="00707B7E" w:rsidP="00707B7E">
      <w:pPr>
        <w:numPr>
          <w:ilvl w:val="0"/>
          <w:numId w:val="3"/>
        </w:numPr>
        <w:tabs>
          <w:tab w:val="left" w:pos="509"/>
        </w:tabs>
        <w:spacing w:after="160" w:line="360" w:lineRule="auto"/>
        <w:ind w:left="509" w:hanging="425"/>
        <w:contextualSpacing/>
        <w:jc w:val="both"/>
        <w:rPr>
          <w:rFonts w:ascii="David" w:hAnsi="David"/>
          <w:rtl/>
        </w:rPr>
      </w:pPr>
      <w:r>
        <w:rPr>
          <w:rFonts w:ascii="David" w:hAnsi="David"/>
          <w:u w:val="single"/>
          <w:rtl/>
        </w:rPr>
        <w:t>הערכת המסוכנות</w:t>
      </w:r>
      <w:r>
        <w:rPr>
          <w:rFonts w:ascii="David" w:hAnsi="David"/>
          <w:rtl/>
        </w:rPr>
        <w:t>: הנאשם הוא אדם מבוגר, ללא עבר פלילי, שלאורך חייו התנהל באורח נורמטיבי, עם מערכת ערכים תקינה של ציות להוראות החוק. מאז שפרש הנאשם מעבודתו חלה הידרדרות במצב בריאותו. אשתו של הנאשם מהווה את העוגן המרכזי בחייו, עם אלמנטים של תלות. ההתרשמות של שירות המבחן היא כי בעת ביצוע המעשה פעל הנאשם באופן אימפולסיבי, מבלי שהצליח לתת את דעתו להשלכות האפשריות של המעשה. הנאשם מבטא צער, כאב ואמפתיה כנים לכאבם של בני משפחת המנוח.</w:t>
      </w:r>
    </w:p>
    <w:p w:rsidR="00707B7E" w:rsidRDefault="00707B7E" w:rsidP="00707B7E">
      <w:pPr>
        <w:tabs>
          <w:tab w:val="left" w:pos="509"/>
        </w:tabs>
        <w:spacing w:line="360" w:lineRule="auto"/>
        <w:ind w:left="509"/>
        <w:contextualSpacing/>
        <w:jc w:val="both"/>
        <w:rPr>
          <w:rFonts w:ascii="David" w:hAnsi="David"/>
        </w:rPr>
      </w:pPr>
    </w:p>
    <w:p w:rsidR="00707B7E" w:rsidRDefault="00707B7E" w:rsidP="00707B7E">
      <w:pPr>
        <w:tabs>
          <w:tab w:val="left" w:pos="509"/>
        </w:tabs>
        <w:spacing w:line="360" w:lineRule="auto"/>
        <w:ind w:left="509"/>
        <w:contextualSpacing/>
        <w:jc w:val="both"/>
        <w:rPr>
          <w:rFonts w:ascii="David" w:hAnsi="David"/>
          <w:rtl/>
        </w:rPr>
      </w:pPr>
      <w:r>
        <w:rPr>
          <w:rFonts w:ascii="David" w:hAnsi="David"/>
          <w:rtl/>
        </w:rPr>
        <w:t>הערכת שירות המבחן היא כי הסיכון להישנות התנהגות אלימה מצד הנאשם הוא נמוך, וכי אם תתרחש אלימות, חומרתה תהיה ברמה נמוכה.</w:t>
      </w:r>
    </w:p>
    <w:p w:rsidR="00707B7E" w:rsidRDefault="00707B7E" w:rsidP="00707B7E">
      <w:pPr>
        <w:tabs>
          <w:tab w:val="left" w:pos="509"/>
        </w:tabs>
        <w:spacing w:line="360" w:lineRule="auto"/>
        <w:ind w:left="509"/>
        <w:contextualSpacing/>
        <w:jc w:val="both"/>
        <w:rPr>
          <w:rFonts w:ascii="David" w:hAnsi="David"/>
          <w:rtl/>
        </w:rPr>
      </w:pPr>
    </w:p>
    <w:p w:rsidR="00707B7E" w:rsidRDefault="00707B7E" w:rsidP="00707B7E">
      <w:pPr>
        <w:tabs>
          <w:tab w:val="left" w:pos="509"/>
        </w:tabs>
        <w:spacing w:line="360" w:lineRule="auto"/>
        <w:ind w:left="509"/>
        <w:contextualSpacing/>
        <w:jc w:val="both"/>
        <w:rPr>
          <w:rFonts w:ascii="David" w:hAnsi="David"/>
          <w:rtl/>
        </w:rPr>
      </w:pPr>
      <w:r>
        <w:rPr>
          <w:rFonts w:ascii="David" w:hAnsi="David"/>
          <w:rtl/>
        </w:rPr>
        <w:lastRenderedPageBreak/>
        <w:t>ביחס לגורמי הסיכון ציין שירות המבחן את חומרת העבירה, נסיבות הירי השני, החזקת הנשק לאורך שנים ארוכות לאחר שהנאשם חדל לעבוד כנהג מונית, רמת החרדה הקשה של הנאשם והתלות באשתו.</w:t>
      </w:r>
    </w:p>
    <w:p w:rsidR="00707B7E" w:rsidRDefault="00707B7E" w:rsidP="00707B7E">
      <w:pPr>
        <w:tabs>
          <w:tab w:val="left" w:pos="509"/>
        </w:tabs>
        <w:spacing w:line="360" w:lineRule="auto"/>
        <w:ind w:left="509"/>
        <w:contextualSpacing/>
        <w:jc w:val="both"/>
        <w:rPr>
          <w:rFonts w:ascii="David" w:hAnsi="David"/>
          <w:rtl/>
        </w:rPr>
      </w:pPr>
      <w:r>
        <w:rPr>
          <w:rFonts w:ascii="David" w:hAnsi="David"/>
          <w:rtl/>
        </w:rPr>
        <w:t>ביחס לסיכויי השיקום ציין שירות המבחן את הפרמטרים הבאים: לנאשם אין עבר פלילי ותפקודו לאורך השנים היה תקין; משפחתו של הנאשם מהווה עבורו מקור תמיכה; וכן הנאשם הביע צער, חרטה ואמפתיה כלפי בני משפחת המנוח.</w:t>
      </w:r>
    </w:p>
    <w:p w:rsidR="002F3547" w:rsidRDefault="002F3547" w:rsidP="00707B7E">
      <w:pPr>
        <w:tabs>
          <w:tab w:val="left" w:pos="509"/>
        </w:tabs>
        <w:spacing w:line="360" w:lineRule="auto"/>
        <w:ind w:left="509"/>
        <w:contextualSpacing/>
        <w:jc w:val="both"/>
        <w:rPr>
          <w:rFonts w:ascii="David" w:hAnsi="David"/>
          <w:rtl/>
        </w:rPr>
      </w:pPr>
    </w:p>
    <w:p w:rsidR="00707B7E" w:rsidRDefault="00707B7E" w:rsidP="00707B7E">
      <w:pPr>
        <w:pStyle w:val="ab"/>
        <w:numPr>
          <w:ilvl w:val="0"/>
          <w:numId w:val="3"/>
        </w:numPr>
        <w:tabs>
          <w:tab w:val="left" w:pos="509"/>
        </w:tabs>
        <w:spacing w:line="360" w:lineRule="auto"/>
        <w:ind w:left="509" w:hanging="425"/>
        <w:jc w:val="both"/>
        <w:rPr>
          <w:rFonts w:ascii="David" w:hAnsi="David" w:cs="David"/>
          <w:sz w:val="24"/>
          <w:szCs w:val="24"/>
          <w:rtl/>
        </w:rPr>
      </w:pPr>
      <w:r>
        <w:rPr>
          <w:rFonts w:ascii="David" w:hAnsi="David" w:cs="David"/>
          <w:sz w:val="24"/>
          <w:szCs w:val="24"/>
          <w:u w:val="single"/>
          <w:rtl/>
        </w:rPr>
        <w:t>המלצת שירות המבחן</w:t>
      </w:r>
      <w:r>
        <w:rPr>
          <w:rFonts w:ascii="David" w:hAnsi="David" w:cs="David"/>
          <w:sz w:val="24"/>
          <w:szCs w:val="24"/>
          <w:rtl/>
        </w:rPr>
        <w:t>: בנסיבות העניין ממליץ שירות המבחן כי בשיקולי הענישה יילקחו בחשבון מאפייניו האישיים של הנאשם ונזקקותו לטיפול רפואי. כמו כן מומלץ לחייב את הנאשם בפיצוי משפחת המנוח.</w:t>
      </w:r>
    </w:p>
    <w:p w:rsidR="00707B7E" w:rsidRDefault="00707B7E" w:rsidP="00707B7E">
      <w:pPr>
        <w:pStyle w:val="ab"/>
        <w:tabs>
          <w:tab w:val="left" w:pos="509"/>
        </w:tabs>
        <w:ind w:left="509" w:hanging="425"/>
        <w:rPr>
          <w:rFonts w:ascii="David" w:hAnsi="David" w:cs="David"/>
          <w:sz w:val="24"/>
          <w:szCs w:val="24"/>
        </w:rPr>
      </w:pPr>
    </w:p>
    <w:p w:rsidR="00707B7E" w:rsidRDefault="00707B7E" w:rsidP="00707B7E">
      <w:pPr>
        <w:pStyle w:val="ab"/>
        <w:tabs>
          <w:tab w:val="left" w:pos="509"/>
        </w:tabs>
        <w:ind w:left="509" w:hanging="425"/>
        <w:rPr>
          <w:rFonts w:ascii="David" w:hAnsi="David" w:cs="David"/>
          <w:sz w:val="24"/>
          <w:szCs w:val="24"/>
          <w:rtl/>
        </w:rPr>
      </w:pPr>
    </w:p>
    <w:p w:rsidR="00707B7E" w:rsidRDefault="00707B7E" w:rsidP="00707B7E">
      <w:pPr>
        <w:tabs>
          <w:tab w:val="left" w:pos="509"/>
        </w:tabs>
        <w:spacing w:line="360" w:lineRule="auto"/>
        <w:ind w:left="509" w:hanging="425"/>
        <w:contextualSpacing/>
        <w:jc w:val="both"/>
        <w:rPr>
          <w:rFonts w:ascii="David" w:hAnsi="David"/>
          <w:b/>
          <w:bCs/>
          <w:rtl/>
        </w:rPr>
      </w:pPr>
      <w:r>
        <w:rPr>
          <w:rFonts w:ascii="David" w:hAnsi="David"/>
          <w:b/>
          <w:bCs/>
          <w:rtl/>
        </w:rPr>
        <w:t>ראיות הצדדים לעונש</w:t>
      </w:r>
    </w:p>
    <w:p w:rsidR="00707B7E" w:rsidRDefault="00707B7E" w:rsidP="00707B7E">
      <w:pPr>
        <w:tabs>
          <w:tab w:val="left" w:pos="509"/>
        </w:tabs>
        <w:spacing w:line="360" w:lineRule="auto"/>
        <w:jc w:val="both"/>
        <w:rPr>
          <w:rFonts w:ascii="David" w:hAnsi="David"/>
          <w:highlight w:val="yellow"/>
        </w:rPr>
      </w:pPr>
    </w:p>
    <w:p w:rsidR="00707B7E" w:rsidRDefault="00707B7E" w:rsidP="00707B7E">
      <w:pPr>
        <w:numPr>
          <w:ilvl w:val="0"/>
          <w:numId w:val="3"/>
        </w:numPr>
        <w:tabs>
          <w:tab w:val="left" w:pos="509"/>
        </w:tabs>
        <w:spacing w:after="160" w:line="360" w:lineRule="auto"/>
        <w:ind w:left="509" w:hanging="425"/>
        <w:contextualSpacing/>
        <w:jc w:val="both"/>
        <w:rPr>
          <w:rFonts w:ascii="David" w:hAnsi="David"/>
          <w:rtl/>
        </w:rPr>
      </w:pPr>
      <w:r>
        <w:rPr>
          <w:rFonts w:ascii="David" w:hAnsi="David"/>
          <w:b/>
          <w:bCs/>
          <w:rtl/>
        </w:rPr>
        <w:t xml:space="preserve">מטעם המאשימה </w:t>
      </w:r>
      <w:r>
        <w:rPr>
          <w:rFonts w:ascii="David" w:hAnsi="David"/>
          <w:rtl/>
        </w:rPr>
        <w:t xml:space="preserve">העידו אלמנתו של המנוח, דקלה, ובתו י'. כמו כן, העידה ימית טל, אחותו של המנוח. </w:t>
      </w:r>
    </w:p>
    <w:p w:rsidR="00707B7E" w:rsidRDefault="00707B7E" w:rsidP="00707B7E">
      <w:pPr>
        <w:tabs>
          <w:tab w:val="left" w:pos="509"/>
        </w:tabs>
        <w:spacing w:line="360" w:lineRule="auto"/>
        <w:ind w:left="509"/>
        <w:contextualSpacing/>
        <w:jc w:val="both"/>
        <w:rPr>
          <w:rFonts w:ascii="David" w:hAnsi="David"/>
        </w:rPr>
      </w:pPr>
    </w:p>
    <w:p w:rsidR="00707B7E" w:rsidRDefault="00707B7E" w:rsidP="00707B7E">
      <w:pPr>
        <w:numPr>
          <w:ilvl w:val="0"/>
          <w:numId w:val="3"/>
        </w:numPr>
        <w:tabs>
          <w:tab w:val="left" w:pos="509"/>
        </w:tabs>
        <w:spacing w:after="160" w:line="360" w:lineRule="auto"/>
        <w:ind w:left="509" w:hanging="425"/>
        <w:contextualSpacing/>
        <w:jc w:val="both"/>
        <w:rPr>
          <w:rFonts w:ascii="David" w:hAnsi="David"/>
        </w:rPr>
      </w:pPr>
      <w:r>
        <w:rPr>
          <w:rFonts w:ascii="David" w:hAnsi="David"/>
          <w:u w:val="single"/>
          <w:rtl/>
        </w:rPr>
        <w:t>דקלה חסדאי</w:t>
      </w:r>
      <w:r>
        <w:rPr>
          <w:rFonts w:ascii="David" w:hAnsi="David"/>
          <w:rtl/>
        </w:rPr>
        <w:t xml:space="preserve">: דקלה, אלמנתו של המנוח, העידה בכאב על הטרגדיה שפקדה אותה ואת בנותיה. היא תיארה את המנוח כבעל וכאב מסור לשלוש בנותיו, שלשתיים מהן צרכים מיוחדים. המנוח טיפל במסירות בבנותיו. דקלה הדגישה את המשמעות הרבה של הטיפול בבנות בעלות הצרכים המיוחדים, בין השאר על רקע מצבה הבריאותי (של דקלה). מאז אובדנו של המנוח נאלצת דקלה להתמודד עם מציאות לא פשוטה. תחילה חשה דקלה שהקרקע נשמטת מתחת לרגליה. היא שיתפה בקושי לספר לבת י', שהייתה כבת 9.5 שנים, שאביה לא ישוב יותר. במהלך עדותה של י' הוסיפה דקלה כי בכל לילה, לפני ש-י' הולכת לישון, היא מביעה געגועים לאביה. לאורך התקופה התמודדה דקלה עם אשפוזים חוזרים ונשנים של הבת הצעירה, כאשר במקביל היה עליה לדאוג לצורכיהן של כל הבנות. בשלב מסוים נישאה דקלה מחדש, ובן זוגה "הרים" אותה "מהתחתית של התחתית". לסיכום, ביקשה דקלה "שהצדק ייעשה", במובן זה שבית המשפט יראה לנגד עיניו את האובדן הקשה, שלעולם לא ייגמר. </w:t>
      </w:r>
    </w:p>
    <w:p w:rsidR="00707B7E" w:rsidRDefault="00707B7E" w:rsidP="00707B7E">
      <w:pPr>
        <w:pStyle w:val="ab"/>
        <w:rPr>
          <w:rFonts w:ascii="David" w:hAnsi="David" w:cs="David"/>
          <w:sz w:val="24"/>
          <w:szCs w:val="24"/>
        </w:rPr>
      </w:pPr>
    </w:p>
    <w:p w:rsidR="00707B7E" w:rsidRDefault="00707B7E" w:rsidP="00707B7E">
      <w:pPr>
        <w:pStyle w:val="ab"/>
        <w:numPr>
          <w:ilvl w:val="0"/>
          <w:numId w:val="3"/>
        </w:numPr>
        <w:tabs>
          <w:tab w:val="left" w:pos="509"/>
        </w:tabs>
        <w:spacing w:line="360" w:lineRule="auto"/>
        <w:jc w:val="both"/>
        <w:rPr>
          <w:rFonts w:ascii="David" w:hAnsi="David" w:cs="David"/>
          <w:sz w:val="24"/>
          <w:szCs w:val="24"/>
          <w:rtl/>
        </w:rPr>
      </w:pPr>
      <w:r>
        <w:rPr>
          <w:rFonts w:ascii="David" w:hAnsi="David" w:cs="David"/>
          <w:sz w:val="24"/>
          <w:szCs w:val="24"/>
          <w:u w:val="single"/>
          <w:rtl/>
        </w:rPr>
        <w:t>י', בתו הקטינה של המנוח</w:t>
      </w:r>
      <w:r>
        <w:rPr>
          <w:rFonts w:ascii="David" w:hAnsi="David" w:cs="David"/>
          <w:sz w:val="24"/>
          <w:szCs w:val="24"/>
          <w:rtl/>
        </w:rPr>
        <w:t xml:space="preserve">: י' שהייתה עדת ראייה לרצח, סיפרה בבכי קורע לב על אובדנו של אביה שהיה "מלאך" ודאג למלא את מחסורם של בני המשפחה. עוד היא הדגישה את הקושי שלה ושל אחיותיה לגדול ללא דמות אב, ובהקשר זה ציינה כי כל העת היא חושבת על אמה בתחושת פחד, שמא יאונה לאם רע. לאחר תקופת הבשלה מסוימת, החלה י' בהליך טיפולי, המחזק אותה במידה מסוימת. בנוסף, העלתה י' על הכתב את דבריה היוצאים מן הלב. </w:t>
      </w:r>
    </w:p>
    <w:p w:rsidR="00707B7E" w:rsidRDefault="00707B7E" w:rsidP="00707B7E">
      <w:pPr>
        <w:tabs>
          <w:tab w:val="left" w:pos="509"/>
        </w:tabs>
        <w:spacing w:line="360" w:lineRule="auto"/>
        <w:ind w:left="509"/>
        <w:contextualSpacing/>
        <w:jc w:val="both"/>
        <w:rPr>
          <w:rFonts w:ascii="David" w:hAnsi="David"/>
          <w:highlight w:val="yellow"/>
        </w:rPr>
      </w:pPr>
    </w:p>
    <w:p w:rsidR="00707B7E" w:rsidRDefault="00707B7E" w:rsidP="00707B7E">
      <w:pPr>
        <w:numPr>
          <w:ilvl w:val="0"/>
          <w:numId w:val="3"/>
        </w:numPr>
        <w:tabs>
          <w:tab w:val="left" w:pos="509"/>
        </w:tabs>
        <w:spacing w:after="160" w:line="360" w:lineRule="auto"/>
        <w:contextualSpacing/>
        <w:jc w:val="both"/>
        <w:rPr>
          <w:rFonts w:ascii="David" w:hAnsi="David"/>
        </w:rPr>
      </w:pPr>
      <w:r>
        <w:rPr>
          <w:rFonts w:ascii="David" w:hAnsi="David"/>
          <w:u w:val="single"/>
          <w:rtl/>
        </w:rPr>
        <w:t>ימית טל</w:t>
      </w:r>
      <w:r>
        <w:rPr>
          <w:rFonts w:ascii="David" w:hAnsi="David"/>
          <w:rtl/>
        </w:rPr>
        <w:t>, אחותו של המנוח: ימית העידה בבכי ובכאב, תוך שהיא רואה את עצמה כמי שמשמיעה את קולם של אופיר המנוח ושל אביהם המנוח, שמצבו הבריאותי הידרדר לאחר האירוע, וכן של האם. ימית תיארה את מצבה הפיזי והרגשי הקשה של האם ואת ההתמודדות היום יומית שלה עם הכאב האין-סופי. ימית הדגישה כי כל בני המשפחה של אופיר המנוח: הן האחים והן האחיינים, חווים קשיים ומצוקה עקב אובדנו של המנוח, שהיה אדם עם "לב גדול ומיוחד", מלא נתינה ואמפתיה. בנוסף, הוגש לנו מסמך בכתב שנערך על ידי העדה, שכולל, בין היתר, חלק מדברי ההספד שלה על קבר אחיה (ע/12). ימית ביקשה שבגוזרו את הדין, ישווה בית המשפט לנגד עיניו את מעשהו ההרסני של הנאשם אשר נטל את חיי אחיה ופגע במעגלים נרחבים של המשפחה.</w:t>
      </w:r>
    </w:p>
    <w:p w:rsidR="00707B7E" w:rsidRDefault="00707B7E" w:rsidP="00707B7E">
      <w:pPr>
        <w:pStyle w:val="ab"/>
        <w:rPr>
          <w:rFonts w:ascii="David" w:hAnsi="David" w:cs="David"/>
          <w:sz w:val="24"/>
          <w:szCs w:val="24"/>
          <w:highlight w:val="yellow"/>
        </w:rPr>
      </w:pPr>
    </w:p>
    <w:p w:rsidR="00707B7E" w:rsidRDefault="00707B7E" w:rsidP="00707B7E">
      <w:pPr>
        <w:numPr>
          <w:ilvl w:val="0"/>
          <w:numId w:val="3"/>
        </w:numPr>
        <w:tabs>
          <w:tab w:val="left" w:pos="509"/>
        </w:tabs>
        <w:spacing w:after="160" w:line="360" w:lineRule="auto"/>
        <w:contextualSpacing/>
        <w:jc w:val="both"/>
        <w:rPr>
          <w:rFonts w:ascii="David" w:hAnsi="David"/>
          <w:rtl/>
        </w:rPr>
      </w:pPr>
      <w:r>
        <w:rPr>
          <w:rFonts w:ascii="David" w:hAnsi="David"/>
          <w:b/>
          <w:bCs/>
          <w:rtl/>
        </w:rPr>
        <w:t>מטעם ההגנה</w:t>
      </w:r>
      <w:r>
        <w:rPr>
          <w:rFonts w:ascii="David" w:hAnsi="David"/>
          <w:rtl/>
        </w:rPr>
        <w:t xml:space="preserve"> העידה מוניקה, אישתו של הנאשם. כמו כן, הוגשו מכתב שהפנה הנאשם למשפחת המנוח, מכתבים הנוגעים לתפקודו של הנאשם במישור התעסוקתי ומסמכים רפואיים.</w:t>
      </w:r>
    </w:p>
    <w:p w:rsidR="00707B7E" w:rsidRDefault="00707B7E" w:rsidP="00707B7E">
      <w:pPr>
        <w:tabs>
          <w:tab w:val="left" w:pos="509"/>
        </w:tabs>
        <w:spacing w:line="360" w:lineRule="auto"/>
        <w:ind w:left="509"/>
        <w:contextualSpacing/>
        <w:jc w:val="both"/>
        <w:rPr>
          <w:rFonts w:ascii="David" w:hAnsi="David"/>
        </w:rPr>
      </w:pPr>
    </w:p>
    <w:p w:rsidR="00707B7E" w:rsidRDefault="00707B7E" w:rsidP="00707B7E">
      <w:pPr>
        <w:numPr>
          <w:ilvl w:val="0"/>
          <w:numId w:val="3"/>
        </w:numPr>
        <w:tabs>
          <w:tab w:val="left" w:pos="509"/>
        </w:tabs>
        <w:spacing w:after="160" w:line="360" w:lineRule="auto"/>
        <w:contextualSpacing/>
        <w:jc w:val="both"/>
        <w:rPr>
          <w:rFonts w:ascii="David" w:hAnsi="David"/>
          <w:rtl/>
        </w:rPr>
      </w:pPr>
      <w:r>
        <w:rPr>
          <w:rFonts w:ascii="David" w:hAnsi="David"/>
          <w:u w:val="single"/>
          <w:rtl/>
        </w:rPr>
        <w:t>גב' מוניקה קטן</w:t>
      </w:r>
      <w:r>
        <w:rPr>
          <w:rFonts w:ascii="David" w:hAnsi="David"/>
          <w:rtl/>
        </w:rPr>
        <w:t xml:space="preserve"> פנתה למשפחתו של המנוח, ונשאה דברים בשמה ובשם הנאשם. היא ביקשה את סליחתם של בני המשפחה, והסבירה שלתפיסתה לא הייתה לנאשם, שהוא אדם נורמטיבי, כוונה לקפח את חייו של המנוח. מוניקה התייחסה לכך שאת שתי המשפחות פקד אסון. ואולם, אסונה של משפחת המנוח הוא "הרבה יותר קשה ממה שעובר עלינו". </w:t>
      </w:r>
    </w:p>
    <w:p w:rsidR="00707B7E" w:rsidRDefault="00707B7E" w:rsidP="00707B7E">
      <w:pPr>
        <w:tabs>
          <w:tab w:val="left" w:pos="509"/>
        </w:tabs>
        <w:spacing w:line="360" w:lineRule="auto"/>
        <w:ind w:left="509"/>
        <w:contextualSpacing/>
        <w:jc w:val="both"/>
        <w:rPr>
          <w:rFonts w:ascii="David" w:hAnsi="David"/>
        </w:rPr>
      </w:pPr>
    </w:p>
    <w:p w:rsidR="00707B7E" w:rsidRDefault="00707B7E" w:rsidP="00707B7E">
      <w:pPr>
        <w:tabs>
          <w:tab w:val="left" w:pos="509"/>
        </w:tabs>
        <w:spacing w:line="360" w:lineRule="auto"/>
        <w:ind w:left="509"/>
        <w:contextualSpacing/>
        <w:jc w:val="both"/>
        <w:rPr>
          <w:rFonts w:ascii="David" w:hAnsi="David"/>
          <w:rtl/>
        </w:rPr>
      </w:pPr>
      <w:r>
        <w:rPr>
          <w:rFonts w:ascii="David" w:hAnsi="David"/>
          <w:rtl/>
        </w:rPr>
        <w:t xml:space="preserve">מוניקה תיארה את אופיו הטוב של הנאשם, שאין זו דרכו לפגוע בזולת. </w:t>
      </w:r>
    </w:p>
    <w:p w:rsidR="00707B7E" w:rsidRDefault="00707B7E" w:rsidP="00707B7E">
      <w:pPr>
        <w:pStyle w:val="ab"/>
        <w:tabs>
          <w:tab w:val="left" w:pos="509"/>
        </w:tabs>
        <w:spacing w:line="360" w:lineRule="auto"/>
        <w:ind w:left="502"/>
        <w:jc w:val="both"/>
        <w:rPr>
          <w:rFonts w:ascii="David" w:hAnsi="David" w:cs="David"/>
          <w:sz w:val="24"/>
          <w:szCs w:val="24"/>
          <w:rtl/>
        </w:rPr>
      </w:pPr>
      <w:r>
        <w:rPr>
          <w:rFonts w:ascii="David" w:hAnsi="David" w:cs="David"/>
          <w:sz w:val="24"/>
          <w:szCs w:val="24"/>
          <w:rtl/>
        </w:rPr>
        <w:t xml:space="preserve">כמו כן, בהתייחס לנסיבות האירוע, ציינה מוניקה כי היא והנאשם לא צפו את קרות האירוע. באותו יום הגיעו השניים, לבקשתה, לקניון כדי לאכול גלידה, והיא נושאת על כתפיה את "האשמה" בכך שבשל בקשתה זו הגיעו השניים לקניון. </w:t>
      </w:r>
    </w:p>
    <w:p w:rsidR="00707B7E" w:rsidRDefault="00707B7E" w:rsidP="00707B7E">
      <w:pPr>
        <w:tabs>
          <w:tab w:val="left" w:pos="509"/>
        </w:tabs>
        <w:spacing w:line="360" w:lineRule="auto"/>
        <w:ind w:left="509"/>
        <w:contextualSpacing/>
        <w:jc w:val="both"/>
        <w:rPr>
          <w:rFonts w:ascii="David" w:hAnsi="David"/>
        </w:rPr>
      </w:pPr>
      <w:r>
        <w:rPr>
          <w:rFonts w:ascii="David" w:hAnsi="David"/>
          <w:rtl/>
        </w:rPr>
        <w:t xml:space="preserve">מוניקה תיארה את מצבם הרפואי המורכב של הנאשם ושלה, כשלדבריה הנאשם הוא אדם חולה מאוד. בשנים האחרונות החמיר מצבם הרפואי של בני הזוג, והנאשם הסתגר בביתו. </w:t>
      </w:r>
    </w:p>
    <w:p w:rsidR="00707B7E" w:rsidRDefault="00707B7E" w:rsidP="00707B7E">
      <w:pPr>
        <w:pStyle w:val="ab"/>
        <w:tabs>
          <w:tab w:val="left" w:pos="509"/>
        </w:tabs>
        <w:spacing w:line="360" w:lineRule="auto"/>
        <w:ind w:left="502"/>
        <w:jc w:val="both"/>
        <w:rPr>
          <w:rFonts w:ascii="David" w:hAnsi="David" w:cs="David"/>
          <w:sz w:val="24"/>
          <w:szCs w:val="24"/>
          <w:rtl/>
        </w:rPr>
      </w:pPr>
      <w:r>
        <w:rPr>
          <w:rFonts w:ascii="David" w:hAnsi="David" w:cs="David"/>
          <w:sz w:val="24"/>
          <w:szCs w:val="24"/>
          <w:rtl/>
        </w:rPr>
        <w:t xml:space="preserve">מוניקה ביקשה מבית המשפט להתחשב בנאשם, בהביעה חשש שבשל מצבו הבריאותי, תנאי הכליאה ייגרמו לקיצור תוחלת חייו. </w:t>
      </w:r>
    </w:p>
    <w:p w:rsidR="00707B7E" w:rsidRDefault="00707B7E" w:rsidP="00707B7E">
      <w:pPr>
        <w:tabs>
          <w:tab w:val="left" w:pos="509"/>
        </w:tabs>
        <w:spacing w:line="360" w:lineRule="auto"/>
        <w:ind w:left="509"/>
        <w:contextualSpacing/>
        <w:jc w:val="both"/>
        <w:rPr>
          <w:rFonts w:ascii="David" w:hAnsi="David"/>
        </w:rPr>
      </w:pPr>
    </w:p>
    <w:p w:rsidR="00707B7E" w:rsidRDefault="00707B7E" w:rsidP="00707B7E">
      <w:pPr>
        <w:numPr>
          <w:ilvl w:val="0"/>
          <w:numId w:val="3"/>
        </w:numPr>
        <w:tabs>
          <w:tab w:val="left" w:pos="509"/>
        </w:tabs>
        <w:spacing w:after="160" w:line="360" w:lineRule="auto"/>
        <w:contextualSpacing/>
        <w:jc w:val="both"/>
        <w:rPr>
          <w:rFonts w:ascii="David" w:hAnsi="David"/>
        </w:rPr>
      </w:pPr>
      <w:r>
        <w:rPr>
          <w:rFonts w:ascii="David" w:hAnsi="David"/>
          <w:u w:val="single"/>
          <w:rtl/>
        </w:rPr>
        <w:t>מכתב</w:t>
      </w:r>
      <w:r>
        <w:rPr>
          <w:rFonts w:ascii="David" w:hAnsi="David"/>
          <w:rtl/>
        </w:rPr>
        <w:t xml:space="preserve"> שכתב הנאשם הממוען לדקלה ולבנות (ע/1): הנאשם הביע צער עמוק על "הטרגדיה הנוראה של כולנו", וביקש סליחה "מכל הלב". הוא ציין כי מעולם לא פגע באיש וכי לא רצה במותו של המנוח. רצונו היה להציל את מוניקה שהייתה חולה מאוד. כמו כן, הביע הנאשם תקווה כי דקלה והבנות ישקמו את חייהן. </w:t>
      </w:r>
    </w:p>
    <w:p w:rsidR="00707B7E" w:rsidRDefault="00707B7E" w:rsidP="00707B7E">
      <w:pPr>
        <w:rPr>
          <w:rFonts w:ascii="David" w:hAnsi="David"/>
          <w:highlight w:val="yellow"/>
        </w:rPr>
      </w:pPr>
    </w:p>
    <w:p w:rsidR="00707B7E" w:rsidRDefault="00707B7E" w:rsidP="00707B7E">
      <w:pPr>
        <w:numPr>
          <w:ilvl w:val="0"/>
          <w:numId w:val="3"/>
        </w:numPr>
        <w:tabs>
          <w:tab w:val="left" w:pos="509"/>
        </w:tabs>
        <w:spacing w:after="160" w:line="360" w:lineRule="auto"/>
        <w:contextualSpacing/>
        <w:jc w:val="both"/>
        <w:rPr>
          <w:rFonts w:ascii="David" w:hAnsi="David"/>
          <w:rtl/>
        </w:rPr>
      </w:pPr>
      <w:r>
        <w:rPr>
          <w:rFonts w:ascii="David" w:hAnsi="David"/>
          <w:u w:val="single"/>
          <w:rtl/>
        </w:rPr>
        <w:lastRenderedPageBreak/>
        <w:t>שלושה מכתבים</w:t>
      </w:r>
      <w:r>
        <w:rPr>
          <w:rFonts w:ascii="David" w:hAnsi="David"/>
          <w:rtl/>
        </w:rPr>
        <w:t xml:space="preserve"> מצוותים שונים של מטפלות העובדות בבתי ספר לחינוך מיוחד (ע/2-ע/4): המטפלות (מרפאות בעיסוק) הכירו את הנאשם כשעבד כסוכן למכשירי שיקום וניידות והעניק שירותים לתלמידי בית הספר. הן ציינו את מסירותו של הנאשם בעבודתו ואת חוויתן הנעימה לעבוד עימו, ותיארו את אופיו הטוב. המטפלות הביעו תקוותן "שתימצא החמלה גם במקום כה קשה של טרגדיה נוראית". </w:t>
      </w:r>
    </w:p>
    <w:p w:rsidR="00707B7E" w:rsidRDefault="00707B7E" w:rsidP="00707B7E">
      <w:pPr>
        <w:tabs>
          <w:tab w:val="left" w:pos="509"/>
        </w:tabs>
        <w:spacing w:line="360" w:lineRule="auto"/>
        <w:ind w:left="509"/>
        <w:contextualSpacing/>
        <w:jc w:val="both"/>
        <w:rPr>
          <w:rFonts w:ascii="David" w:hAnsi="David"/>
        </w:rPr>
      </w:pPr>
    </w:p>
    <w:p w:rsidR="00707B7E" w:rsidRDefault="00707B7E" w:rsidP="00707B7E">
      <w:pPr>
        <w:numPr>
          <w:ilvl w:val="0"/>
          <w:numId w:val="3"/>
        </w:numPr>
        <w:tabs>
          <w:tab w:val="left" w:pos="509"/>
        </w:tabs>
        <w:spacing w:after="160" w:line="360" w:lineRule="auto"/>
        <w:contextualSpacing/>
        <w:jc w:val="both"/>
        <w:rPr>
          <w:rFonts w:ascii="David" w:hAnsi="David"/>
        </w:rPr>
      </w:pPr>
      <w:r>
        <w:rPr>
          <w:rFonts w:ascii="David" w:hAnsi="David"/>
          <w:u w:val="single"/>
          <w:rtl/>
        </w:rPr>
        <w:t>אסופת מסמכים רפואיים בעניינו של הנאשם</w:t>
      </w:r>
      <w:r>
        <w:rPr>
          <w:rFonts w:ascii="David" w:hAnsi="David"/>
          <w:rtl/>
        </w:rPr>
        <w:t xml:space="preserve">: </w:t>
      </w:r>
    </w:p>
    <w:p w:rsidR="00707B7E" w:rsidRDefault="00707B7E" w:rsidP="00707B7E">
      <w:pPr>
        <w:pStyle w:val="ab"/>
        <w:numPr>
          <w:ilvl w:val="0"/>
          <w:numId w:val="5"/>
        </w:numPr>
        <w:tabs>
          <w:tab w:val="left" w:pos="509"/>
        </w:tabs>
        <w:spacing w:line="360" w:lineRule="auto"/>
        <w:jc w:val="both"/>
        <w:rPr>
          <w:rFonts w:ascii="David" w:hAnsi="David" w:cs="David"/>
          <w:sz w:val="24"/>
          <w:szCs w:val="24"/>
        </w:rPr>
      </w:pPr>
      <w:r>
        <w:rPr>
          <w:rFonts w:ascii="David" w:hAnsi="David" w:cs="David"/>
          <w:sz w:val="24"/>
          <w:szCs w:val="24"/>
          <w:rtl/>
        </w:rPr>
        <w:t xml:space="preserve">חוות דעת רפואית של ד"ר יופה (פסיכיאטר מומחה) מיום 7.11.20 בעניין מצבו הקוגניטיבי והנפשי של הנאשם (ע/5): בין היתר, צוינו מחלות הרקע שמהן סובל הנאשם, ובהן: יתר לחץ דם, סוכרת, רטט בידיים וירידה בשמיעה. מצבו הקוגניטיבי של הנאשם תקין. הוא אחראי למעשיו וכשיר למתן עדות בבית המשפט. </w:t>
      </w:r>
    </w:p>
    <w:p w:rsidR="00707B7E" w:rsidRDefault="00707B7E" w:rsidP="00707B7E">
      <w:pPr>
        <w:pStyle w:val="ab"/>
        <w:tabs>
          <w:tab w:val="left" w:pos="509"/>
        </w:tabs>
        <w:spacing w:line="360" w:lineRule="auto"/>
        <w:ind w:left="869"/>
        <w:jc w:val="both"/>
        <w:rPr>
          <w:rFonts w:ascii="David" w:hAnsi="David" w:cs="David"/>
          <w:sz w:val="24"/>
          <w:szCs w:val="24"/>
        </w:rPr>
      </w:pPr>
    </w:p>
    <w:p w:rsidR="00707B7E" w:rsidRDefault="00707B7E" w:rsidP="00707B7E">
      <w:pPr>
        <w:pStyle w:val="ab"/>
        <w:numPr>
          <w:ilvl w:val="0"/>
          <w:numId w:val="5"/>
        </w:numPr>
        <w:tabs>
          <w:tab w:val="left" w:pos="509"/>
        </w:tabs>
        <w:spacing w:line="360" w:lineRule="auto"/>
        <w:jc w:val="both"/>
        <w:rPr>
          <w:rFonts w:ascii="David" w:hAnsi="David" w:cs="David"/>
          <w:sz w:val="24"/>
          <w:szCs w:val="24"/>
        </w:rPr>
      </w:pPr>
      <w:r>
        <w:rPr>
          <w:rFonts w:ascii="David" w:hAnsi="David" w:cs="David"/>
          <w:sz w:val="24"/>
          <w:szCs w:val="24"/>
          <w:rtl/>
        </w:rPr>
        <w:t>מסמך רפואי שנערך על ידי ד"ר שולץ, מתמחה בפסיכיאטריה מהמרכז הרפואי לטיפול במוח ובנפש "מרחבים", באפריל 2023 (ע/6), שעניינו הפניית הנאשם למעקב פסיכיאטרי במסגרת קופת החולים. צוין כי על רקע הירי במנוח התפתחה הפרעת הסתגלות מלווה בתסמיני דיכאון וחרדה. מצוין הרושם כי הנאשם שרוי בדיכאון מז'ורי, והומלץ לשקול טיפול.</w:t>
      </w:r>
    </w:p>
    <w:p w:rsidR="00707B7E" w:rsidRDefault="00707B7E" w:rsidP="00707B7E">
      <w:pPr>
        <w:numPr>
          <w:ilvl w:val="0"/>
          <w:numId w:val="5"/>
        </w:numPr>
        <w:tabs>
          <w:tab w:val="left" w:pos="509"/>
        </w:tabs>
        <w:spacing w:after="160" w:line="360" w:lineRule="auto"/>
        <w:contextualSpacing/>
        <w:jc w:val="both"/>
        <w:rPr>
          <w:rFonts w:ascii="David" w:hAnsi="David"/>
        </w:rPr>
      </w:pPr>
      <w:r>
        <w:rPr>
          <w:rFonts w:ascii="David" w:hAnsi="David"/>
          <w:rtl/>
        </w:rPr>
        <w:t xml:space="preserve">סיכום ביקור אצל ד"ר גוז, רופא גריאטר, מיום 31.1.24 (ע/8): בפרק "תלונות" צוין כי ברקע סכרת, יתר לחץ דם, אוסטאוארטרוזיס, מחלה ריאתית כרונית, רעד בידיים, בעיות שמיעה ועיניים; בשל מצב רוח ירוד נמצא במעקב וטיפול במרפאה פסיכיאטרית; נדודי שינה בשל ריפלוקס ותכיפות במתן שתן; "שוכח דברים" (ע' 1). בפרק הבדיקה הגופנית צוינו מספר קשיים בתחום התפקודי שמפאת צנעת הפרט אין מקום לפרטם (ע' 2). בפרק "סיכום דיון והמלצות" נרשם: "במודע צלול אך עם בעיות בזיכרון בשל מצב נפשי ירוד ונדודי שינה. להמשיך מעקב וטיפול במרפאה בריאות הנפש" (ע' 3). </w:t>
      </w:r>
    </w:p>
    <w:p w:rsidR="00707B7E" w:rsidRDefault="00707B7E" w:rsidP="00707B7E">
      <w:pPr>
        <w:tabs>
          <w:tab w:val="left" w:pos="509"/>
        </w:tabs>
        <w:spacing w:line="360" w:lineRule="auto"/>
        <w:ind w:left="869" w:hanging="360"/>
        <w:contextualSpacing/>
        <w:jc w:val="both"/>
        <w:rPr>
          <w:rFonts w:ascii="David" w:hAnsi="David"/>
        </w:rPr>
      </w:pPr>
    </w:p>
    <w:p w:rsidR="00707B7E" w:rsidRDefault="00707B7E" w:rsidP="00707B7E">
      <w:pPr>
        <w:numPr>
          <w:ilvl w:val="0"/>
          <w:numId w:val="5"/>
        </w:numPr>
        <w:tabs>
          <w:tab w:val="left" w:pos="509"/>
        </w:tabs>
        <w:spacing w:after="160" w:line="360" w:lineRule="auto"/>
        <w:contextualSpacing/>
        <w:jc w:val="both"/>
        <w:rPr>
          <w:rFonts w:ascii="David" w:hAnsi="David"/>
        </w:rPr>
      </w:pPr>
      <w:r>
        <w:rPr>
          <w:rFonts w:ascii="David" w:hAnsi="David"/>
          <w:rtl/>
        </w:rPr>
        <w:t xml:space="preserve">סיכום ביקור במרכז למדעי המוח – המכון להפרעות תנועה מיום 1.2.24, שנערך על ידי ד"ר מג'ד (ע/9, וכן מסמך ההפניה ע/7): אבחנה של </w:t>
      </w:r>
      <w:r>
        <w:rPr>
          <w:rFonts w:ascii="David" w:hAnsi="David"/>
        </w:rPr>
        <w:t>ET</w:t>
      </w:r>
      <w:r>
        <w:rPr>
          <w:rFonts w:ascii="David" w:hAnsi="David"/>
          <w:rtl/>
        </w:rPr>
        <w:t xml:space="preserve"> עם רעד בגפיים עליונות במנוחה ובפעולה וכן רעד בראש. מטופל תרופתית עם שיפור ניכר מבחינת הרעד, ללא הפרעה תפקודית; ללא חסרים אחרים בבדיקה נוירולוגית פרט להחזרים ירודים בפיקה ואכילס. צוין כי פרט לכך, ממה שהוצג, השאר בגדר הנורמה. יש צורך בהמשך טיפול נוכחי ללא שינוי. הנאשם הוזמן לבדיקת נוירולוג בחודש אוגוסט 2024 (ע/10 ונספח ע/11). </w:t>
      </w:r>
    </w:p>
    <w:p w:rsidR="00E6406B" w:rsidRDefault="00E6406B" w:rsidP="00E6406B">
      <w:pPr>
        <w:pStyle w:val="ab"/>
        <w:rPr>
          <w:rFonts w:ascii="David" w:hAnsi="David"/>
          <w:rtl/>
        </w:rPr>
      </w:pPr>
    </w:p>
    <w:p w:rsidR="00E6406B" w:rsidRDefault="00E6406B" w:rsidP="00E6406B">
      <w:pPr>
        <w:tabs>
          <w:tab w:val="left" w:pos="509"/>
        </w:tabs>
        <w:spacing w:after="160" w:line="360" w:lineRule="auto"/>
        <w:contextualSpacing/>
        <w:jc w:val="both"/>
        <w:rPr>
          <w:rFonts w:ascii="David" w:hAnsi="David"/>
        </w:rPr>
      </w:pPr>
    </w:p>
    <w:p w:rsidR="00707B7E" w:rsidRDefault="00707B7E" w:rsidP="00707B7E">
      <w:pPr>
        <w:pStyle w:val="ab"/>
        <w:numPr>
          <w:ilvl w:val="0"/>
          <w:numId w:val="5"/>
        </w:numPr>
        <w:tabs>
          <w:tab w:val="left" w:pos="509"/>
        </w:tabs>
        <w:spacing w:line="360" w:lineRule="auto"/>
        <w:jc w:val="both"/>
        <w:rPr>
          <w:rFonts w:ascii="David" w:hAnsi="David" w:cs="David"/>
          <w:sz w:val="24"/>
          <w:szCs w:val="24"/>
          <w:rtl/>
        </w:rPr>
      </w:pPr>
      <w:r>
        <w:rPr>
          <w:rFonts w:ascii="David" w:hAnsi="David" w:cs="David"/>
          <w:sz w:val="24"/>
          <w:szCs w:val="24"/>
          <w:rtl/>
        </w:rPr>
        <w:lastRenderedPageBreak/>
        <w:t>מכתב שחרור מהמחלקה לרפואה דחופה בבי"ח "שיבא" מיום 8.4.24 (ע/13): הנאשם התעורר בלילה עם קוצר נשימה פתאומי, דה סטורציה סביב 90 (ע' 1). "ככל הנראה החמרת אסטמה משנית ל-</w:t>
      </w:r>
      <w:r>
        <w:rPr>
          <w:rFonts w:ascii="David" w:hAnsi="David" w:cs="David"/>
          <w:sz w:val="24"/>
          <w:szCs w:val="24"/>
        </w:rPr>
        <w:t>URTI</w:t>
      </w:r>
      <w:r>
        <w:rPr>
          <w:rFonts w:ascii="David" w:hAnsi="David" w:cs="David"/>
          <w:sz w:val="24"/>
          <w:szCs w:val="24"/>
          <w:rtl/>
        </w:rPr>
        <w:t xml:space="preserve"> רושם לוויראלית אך ייתכן חיידקית". הנאשם שוחרר באותו יום והומלץ על המשך אינהלציות וחמצן לפי הצורך (ע' 3). </w:t>
      </w:r>
    </w:p>
    <w:p w:rsidR="00707B7E" w:rsidRDefault="00707B7E" w:rsidP="00707B7E">
      <w:pPr>
        <w:tabs>
          <w:tab w:val="left" w:pos="509"/>
        </w:tabs>
        <w:spacing w:line="360" w:lineRule="auto"/>
        <w:ind w:left="509" w:hanging="425"/>
        <w:contextualSpacing/>
        <w:jc w:val="both"/>
        <w:rPr>
          <w:rFonts w:ascii="David" w:hAnsi="David"/>
          <w:b/>
          <w:bCs/>
        </w:rPr>
      </w:pPr>
    </w:p>
    <w:p w:rsidR="00707B7E" w:rsidRDefault="00707B7E" w:rsidP="00707B7E">
      <w:pPr>
        <w:tabs>
          <w:tab w:val="left" w:pos="509"/>
        </w:tabs>
        <w:spacing w:line="360" w:lineRule="auto"/>
        <w:ind w:left="509" w:hanging="425"/>
        <w:contextualSpacing/>
        <w:jc w:val="both"/>
        <w:rPr>
          <w:rFonts w:ascii="David" w:hAnsi="David"/>
          <w:b/>
          <w:bCs/>
        </w:rPr>
      </w:pPr>
      <w:r>
        <w:rPr>
          <w:rFonts w:ascii="David" w:hAnsi="David"/>
          <w:b/>
          <w:bCs/>
          <w:rtl/>
        </w:rPr>
        <w:t>טיעוני ב"כ הצדדים</w:t>
      </w:r>
    </w:p>
    <w:p w:rsidR="002F3547" w:rsidRDefault="002F3547" w:rsidP="00707B7E">
      <w:pPr>
        <w:tabs>
          <w:tab w:val="left" w:pos="509"/>
        </w:tabs>
        <w:spacing w:line="360" w:lineRule="auto"/>
        <w:ind w:left="509" w:hanging="425"/>
        <w:contextualSpacing/>
        <w:jc w:val="both"/>
        <w:rPr>
          <w:rFonts w:ascii="David" w:hAnsi="David"/>
          <w:u w:val="single"/>
          <w:rtl/>
        </w:rPr>
      </w:pPr>
    </w:p>
    <w:p w:rsidR="00707B7E" w:rsidRDefault="00707B7E" w:rsidP="00707B7E">
      <w:pPr>
        <w:tabs>
          <w:tab w:val="left" w:pos="509"/>
        </w:tabs>
        <w:spacing w:line="360" w:lineRule="auto"/>
        <w:ind w:left="509" w:hanging="425"/>
        <w:contextualSpacing/>
        <w:jc w:val="both"/>
        <w:rPr>
          <w:rFonts w:ascii="David" w:hAnsi="David"/>
          <w:u w:val="single"/>
          <w:rtl/>
        </w:rPr>
      </w:pPr>
      <w:r>
        <w:rPr>
          <w:rFonts w:ascii="David" w:hAnsi="David"/>
          <w:u w:val="single"/>
          <w:rtl/>
        </w:rPr>
        <w:t>טיעוני ב"כ המאשימה</w:t>
      </w:r>
    </w:p>
    <w:p w:rsidR="002F3547" w:rsidRDefault="002F3547" w:rsidP="00707B7E">
      <w:pPr>
        <w:tabs>
          <w:tab w:val="left" w:pos="509"/>
        </w:tabs>
        <w:spacing w:line="360" w:lineRule="auto"/>
        <w:ind w:left="509" w:hanging="425"/>
        <w:contextualSpacing/>
        <w:jc w:val="both"/>
        <w:rPr>
          <w:rFonts w:ascii="David" w:hAnsi="David"/>
          <w:u w:val="single"/>
          <w:rtl/>
        </w:rPr>
      </w:pPr>
    </w:p>
    <w:p w:rsidR="00707B7E" w:rsidRDefault="00707B7E" w:rsidP="00707B7E">
      <w:pPr>
        <w:pStyle w:val="ab"/>
        <w:numPr>
          <w:ilvl w:val="0"/>
          <w:numId w:val="3"/>
        </w:numPr>
        <w:tabs>
          <w:tab w:val="left" w:pos="509"/>
        </w:tabs>
        <w:spacing w:line="360" w:lineRule="auto"/>
        <w:jc w:val="both"/>
        <w:rPr>
          <w:rFonts w:ascii="David" w:hAnsi="David" w:cs="David"/>
          <w:sz w:val="24"/>
          <w:szCs w:val="24"/>
        </w:rPr>
      </w:pPr>
      <w:r>
        <w:rPr>
          <w:rFonts w:ascii="David" w:hAnsi="David" w:cs="David"/>
          <w:sz w:val="24"/>
          <w:szCs w:val="24"/>
          <w:rtl/>
        </w:rPr>
        <w:t>ב"כ המאשימה עתרה לקבוע מתחם עונש שנע בין 18 ל-25 שנות מאסר. לגבי העונש בתוך המתחם, עתרה לגזור על הנאשם מאסר בפועל למשך 20 שנים, המצוי בשליש התחתון של המתחם, אך לא בקצהו התחתון. כן עתרה ב"כ המאשימה להטיל על הנאשם מאסר על תנאי ולחייבו בפיצוי מרבי לנפגעי העבירה.</w:t>
      </w:r>
    </w:p>
    <w:p w:rsidR="00707B7E" w:rsidRDefault="00707B7E" w:rsidP="00707B7E">
      <w:pPr>
        <w:pStyle w:val="ab"/>
        <w:tabs>
          <w:tab w:val="left" w:pos="509"/>
        </w:tabs>
        <w:spacing w:line="360" w:lineRule="auto"/>
        <w:ind w:left="502"/>
        <w:jc w:val="both"/>
        <w:rPr>
          <w:rFonts w:ascii="David" w:hAnsi="David" w:cs="David"/>
          <w:sz w:val="24"/>
          <w:szCs w:val="24"/>
        </w:rPr>
      </w:pPr>
    </w:p>
    <w:p w:rsidR="00707B7E" w:rsidRDefault="00707B7E" w:rsidP="00707B7E">
      <w:pPr>
        <w:pStyle w:val="ab"/>
        <w:numPr>
          <w:ilvl w:val="0"/>
          <w:numId w:val="3"/>
        </w:numPr>
        <w:tabs>
          <w:tab w:val="left" w:pos="509"/>
        </w:tabs>
        <w:spacing w:line="360" w:lineRule="auto"/>
        <w:jc w:val="both"/>
        <w:rPr>
          <w:rFonts w:ascii="David" w:hAnsi="David" w:cs="David"/>
          <w:sz w:val="24"/>
          <w:szCs w:val="24"/>
        </w:rPr>
      </w:pPr>
      <w:r>
        <w:rPr>
          <w:rFonts w:ascii="David" w:hAnsi="David" w:cs="David"/>
          <w:sz w:val="24"/>
          <w:szCs w:val="24"/>
          <w:rtl/>
        </w:rPr>
        <w:t xml:space="preserve">הרפורמה בעבירות המתה: עובר לרפורמה, האירוע דנן בא בגדר עבירת ההריגה, ואילו כיום הוא בא בגדר עבירת הרצח, שלצידה נקבע עונש מרבי של מאסר עולם לא קצוב, או 30 שנות מאסר. נעשה אפוא שינוי תפיסתי על ידי המחוקק, שלפיו ההמתה באדישות מתויגת כרצח, ולפיכך קיים "תג עונשי" מחמיר יותר מזה שבעבר. בפסיקתם הבהירו בתי המשפט כי בהיבט העונשי, היסוד הנפשי של אדישות קרוב כיום הרבה יותר לרצח בכוונה. הפועל היוצא מכך הוא שהעונשים שהושתו לפני הרפורמה אינם רלוונטיים עוד ומתחמי הענישה גבוהים הרבה יותר. </w:t>
      </w:r>
    </w:p>
    <w:p w:rsidR="00707B7E" w:rsidRDefault="00707B7E" w:rsidP="00707B7E">
      <w:pPr>
        <w:numPr>
          <w:ilvl w:val="0"/>
          <w:numId w:val="3"/>
        </w:numPr>
        <w:tabs>
          <w:tab w:val="left" w:pos="509"/>
        </w:tabs>
        <w:spacing w:after="160" w:line="360" w:lineRule="auto"/>
        <w:contextualSpacing/>
        <w:jc w:val="both"/>
        <w:rPr>
          <w:rFonts w:ascii="David" w:hAnsi="David"/>
        </w:rPr>
      </w:pPr>
      <w:r>
        <w:rPr>
          <w:rFonts w:ascii="David" w:hAnsi="David"/>
          <w:rtl/>
        </w:rPr>
        <w:t>במקרה דנן, הפגיעה בערך המוגן של קדושת החיים היא ברף הגבוה ביותר.</w:t>
      </w:r>
    </w:p>
    <w:p w:rsidR="00707B7E" w:rsidRDefault="00707B7E" w:rsidP="00707B7E">
      <w:pPr>
        <w:tabs>
          <w:tab w:val="left" w:pos="509"/>
        </w:tabs>
        <w:spacing w:line="360" w:lineRule="auto"/>
        <w:ind w:left="509"/>
        <w:contextualSpacing/>
        <w:jc w:val="both"/>
        <w:rPr>
          <w:rFonts w:ascii="David" w:hAnsi="David"/>
        </w:rPr>
      </w:pPr>
    </w:p>
    <w:p w:rsidR="00707B7E" w:rsidRDefault="00707B7E" w:rsidP="00707B7E">
      <w:pPr>
        <w:numPr>
          <w:ilvl w:val="0"/>
          <w:numId w:val="3"/>
        </w:numPr>
        <w:tabs>
          <w:tab w:val="left" w:pos="509"/>
        </w:tabs>
        <w:spacing w:after="160" w:line="360" w:lineRule="auto"/>
        <w:contextualSpacing/>
        <w:jc w:val="both"/>
        <w:rPr>
          <w:rFonts w:ascii="David" w:hAnsi="David"/>
        </w:rPr>
      </w:pPr>
      <w:r>
        <w:rPr>
          <w:rFonts w:ascii="David" w:hAnsi="David"/>
          <w:rtl/>
        </w:rPr>
        <w:t xml:space="preserve">הנסיבות הקשורות בביצוע העבירה: בהכרעת הדין נקבע כי רצח המנוח נעשה באדישות ברף הגבוה. ויכוח סתמי על חנייה הוביל לכך שהנאשם ירה במנוח באמצעות אקדחו שתי יריות מטווח קצר, ובמעשהו גרם למותו של המנוח. הירי במנוח לא היה "מוצדק": לא נשקפה לנאשם סכנה, והסכנה שבה הייתה נתונה מוניקה לא הייתה מוחשית. אדרבה, מעשהו של הנאשם, שחזר ללב הזירה, היה התקפי ולא הגנתי, כאשר הנאשם פעל בהיותו "חמום מוח". כך גם, נדחתה טענת ההגנה הנוספת כי הנאשם פעל מתוך אוטומטיזם. מהכרעת הדין עולה אפוא כי מעשיו של הנאשם היו רחוקים מרחק רב מן הסייגים הקבועים בחוק, המאפשרים פטור. לכך יש להוסיף שהנאשם השתמש באקדח, שאומנם החזיק ברישיון, אך בהכרעת הדין נקבע כי הנאשם קיבל את רישיון הנשק על יסוד דיווח שקרי על-אודות מצבו הבריאותי, לרבות הסתרת נתונים רלוונטיים. </w:t>
      </w:r>
    </w:p>
    <w:p w:rsidR="00707B7E" w:rsidRDefault="00707B7E" w:rsidP="00707B7E">
      <w:pPr>
        <w:pStyle w:val="ab"/>
        <w:numPr>
          <w:ilvl w:val="0"/>
          <w:numId w:val="3"/>
        </w:numPr>
        <w:tabs>
          <w:tab w:val="left" w:pos="509"/>
        </w:tabs>
        <w:spacing w:line="360" w:lineRule="auto"/>
        <w:jc w:val="both"/>
        <w:rPr>
          <w:rFonts w:ascii="David" w:hAnsi="David" w:cs="David"/>
          <w:sz w:val="24"/>
          <w:szCs w:val="24"/>
        </w:rPr>
      </w:pPr>
      <w:r>
        <w:rPr>
          <w:rFonts w:ascii="David" w:hAnsi="David" w:cs="David"/>
          <w:sz w:val="24"/>
          <w:szCs w:val="24"/>
          <w:rtl/>
        </w:rPr>
        <w:lastRenderedPageBreak/>
        <w:t>הרצח בוצע באופן ספונטני: לעמדת המאשימה אין לראות בכך נסיבה מקלה. הנאשם לא בחר לפעול בדרך פוגענית פחות ודחה אפשרויות אחרות שעמדו בפניו. בכל שלב של האירוע יכול היה הנאשם לעצור ולבחון את הסיטואציה, אך הוא לא עשה כן. המנוח ומוניקה ניסו להניא את הנאשם מביצוע הירי אך הנאשם לא הקשיב לדבריהם. ב"כ המאשימה מבקשת ללמוד מעדותו של הנאשם בבית המשפט על חוסר האכפתיות של הנאשם, אדישותו והזלזול הבוטה שלו בחיי אדם.</w:t>
      </w:r>
    </w:p>
    <w:p w:rsidR="00707B7E" w:rsidRDefault="00707B7E" w:rsidP="00707B7E">
      <w:pPr>
        <w:pStyle w:val="ab"/>
        <w:tabs>
          <w:tab w:val="left" w:pos="509"/>
        </w:tabs>
        <w:spacing w:line="360" w:lineRule="auto"/>
        <w:ind w:left="502"/>
        <w:jc w:val="both"/>
        <w:rPr>
          <w:rFonts w:ascii="David" w:hAnsi="David" w:cs="David"/>
          <w:sz w:val="24"/>
          <w:szCs w:val="24"/>
        </w:rPr>
      </w:pPr>
    </w:p>
    <w:p w:rsidR="00707B7E" w:rsidRDefault="00707B7E" w:rsidP="00707B7E">
      <w:pPr>
        <w:pStyle w:val="ab"/>
        <w:numPr>
          <w:ilvl w:val="0"/>
          <w:numId w:val="3"/>
        </w:numPr>
        <w:tabs>
          <w:tab w:val="left" w:pos="509"/>
        </w:tabs>
        <w:spacing w:line="360" w:lineRule="auto"/>
        <w:jc w:val="both"/>
        <w:rPr>
          <w:rFonts w:ascii="David" w:hAnsi="David" w:cs="David"/>
          <w:sz w:val="24"/>
          <w:szCs w:val="24"/>
        </w:rPr>
      </w:pPr>
      <w:r>
        <w:rPr>
          <w:rFonts w:ascii="David" w:hAnsi="David" w:cs="David"/>
          <w:sz w:val="24"/>
          <w:szCs w:val="24"/>
          <w:rtl/>
        </w:rPr>
        <w:t>מנגד, ציינה ב"כ המאשימה כי במסגרת עתירת המאשימה הנוגעת לקביעת המתחם, ניתן משקל לכך שהנאשם חש סכנה לאשתו מוניקה.</w:t>
      </w:r>
    </w:p>
    <w:p w:rsidR="00707B7E" w:rsidRDefault="00707B7E" w:rsidP="00707B7E">
      <w:pPr>
        <w:numPr>
          <w:ilvl w:val="0"/>
          <w:numId w:val="3"/>
        </w:numPr>
        <w:tabs>
          <w:tab w:val="left" w:pos="509"/>
        </w:tabs>
        <w:spacing w:after="160" w:line="360" w:lineRule="auto"/>
        <w:contextualSpacing/>
        <w:jc w:val="both"/>
        <w:rPr>
          <w:rFonts w:ascii="David" w:hAnsi="David"/>
        </w:rPr>
      </w:pPr>
      <w:r>
        <w:rPr>
          <w:rFonts w:ascii="David" w:hAnsi="David"/>
          <w:rtl/>
        </w:rPr>
        <w:t xml:space="preserve">הנזק שנגרם ממעשהו של הנאשם: ב"כ המאשימה הפנתה לתסקירים של נפגעי העבירה, שפורטו לעיל, וציינה כי מעשיו של הנאשם גדעו חיים שלמים וזרעו הרס וחורבן במשפחתו של המנוח. </w:t>
      </w:r>
    </w:p>
    <w:p w:rsidR="00707B7E" w:rsidRDefault="00707B7E" w:rsidP="00707B7E">
      <w:pPr>
        <w:tabs>
          <w:tab w:val="left" w:pos="509"/>
        </w:tabs>
        <w:spacing w:line="360" w:lineRule="auto"/>
        <w:ind w:left="502"/>
        <w:contextualSpacing/>
        <w:jc w:val="both"/>
        <w:rPr>
          <w:rFonts w:ascii="David" w:hAnsi="David"/>
        </w:rPr>
      </w:pPr>
      <w:r>
        <w:rPr>
          <w:rFonts w:ascii="David" w:hAnsi="David"/>
          <w:rtl/>
        </w:rPr>
        <w:t xml:space="preserve">כמו כן, דקלה והבת י', אשר נכחו במקום האירוע, צפו בזמן אמת ברצח המנוח (בחלק המוקלט של האירוע נשמעות זעקות השבר של הבת י'). </w:t>
      </w:r>
    </w:p>
    <w:p w:rsidR="00707B7E" w:rsidRDefault="00707B7E" w:rsidP="00707B7E">
      <w:pPr>
        <w:tabs>
          <w:tab w:val="left" w:pos="509"/>
        </w:tabs>
        <w:spacing w:line="360" w:lineRule="auto"/>
        <w:ind w:left="502"/>
        <w:contextualSpacing/>
        <w:jc w:val="both"/>
        <w:rPr>
          <w:rFonts w:ascii="David" w:hAnsi="David"/>
          <w:rtl/>
        </w:rPr>
      </w:pPr>
    </w:p>
    <w:p w:rsidR="00707B7E" w:rsidRDefault="00707B7E" w:rsidP="00707B7E">
      <w:pPr>
        <w:tabs>
          <w:tab w:val="left" w:pos="509"/>
        </w:tabs>
        <w:spacing w:line="360" w:lineRule="auto"/>
        <w:ind w:left="502"/>
        <w:contextualSpacing/>
        <w:jc w:val="both"/>
        <w:rPr>
          <w:rFonts w:ascii="David" w:hAnsi="David"/>
        </w:rPr>
      </w:pPr>
      <w:r>
        <w:rPr>
          <w:rFonts w:ascii="David" w:hAnsi="David"/>
          <w:rtl/>
        </w:rPr>
        <w:t xml:space="preserve">הנזק שעלול היה להיגרם גבוה מהנזק שנגרם בפועל: בזמן הירי במנוח, נכחו בסמיכות למקום בני משפחת המנוח ואשתו של הנאשם. כמו כן, הירי בוצע בחניון של קניון – מקום הומה אדם, על כל המשתמע מכך. </w:t>
      </w:r>
    </w:p>
    <w:p w:rsidR="00707B7E" w:rsidRDefault="00707B7E" w:rsidP="00707B7E">
      <w:pPr>
        <w:tabs>
          <w:tab w:val="left" w:pos="509"/>
        </w:tabs>
        <w:spacing w:line="360" w:lineRule="auto"/>
        <w:ind w:left="502"/>
        <w:contextualSpacing/>
        <w:jc w:val="both"/>
        <w:rPr>
          <w:rFonts w:ascii="David" w:hAnsi="David"/>
        </w:rPr>
      </w:pPr>
    </w:p>
    <w:p w:rsidR="00707B7E" w:rsidRDefault="00707B7E" w:rsidP="00707B7E">
      <w:pPr>
        <w:numPr>
          <w:ilvl w:val="0"/>
          <w:numId w:val="3"/>
        </w:numPr>
        <w:tabs>
          <w:tab w:val="left" w:pos="509"/>
        </w:tabs>
        <w:spacing w:after="160" w:line="360" w:lineRule="auto"/>
        <w:contextualSpacing/>
        <w:jc w:val="both"/>
        <w:rPr>
          <w:rFonts w:ascii="David" w:hAnsi="David"/>
        </w:rPr>
      </w:pPr>
      <w:r>
        <w:rPr>
          <w:rFonts w:ascii="David" w:hAnsi="David"/>
          <w:rtl/>
        </w:rPr>
        <w:t xml:space="preserve">לעניין רמת הענישה ברצח באדישות שבו נעשה שימוש בנשק חם, הפנתה ב"כ המאשימה לפסיקה כדלקמן: ע"פ 2079/22 </w:t>
      </w:r>
      <w:r>
        <w:rPr>
          <w:rFonts w:ascii="David" w:hAnsi="David"/>
          <w:b/>
          <w:bCs/>
          <w:rtl/>
        </w:rPr>
        <w:t>חוג'יראת נ' מדינת ישראל</w:t>
      </w:r>
      <w:r>
        <w:rPr>
          <w:rFonts w:ascii="David" w:hAnsi="David"/>
          <w:rtl/>
        </w:rPr>
        <w:t>, פסקה 12 (13.8.2023) (להלן: "</w:t>
      </w:r>
      <w:r>
        <w:rPr>
          <w:rFonts w:ascii="David" w:hAnsi="David"/>
          <w:b/>
          <w:bCs/>
          <w:rtl/>
        </w:rPr>
        <w:t>עניין חוג'יראת</w:t>
      </w:r>
      <w:r>
        <w:rPr>
          <w:rFonts w:ascii="David" w:hAnsi="David"/>
          <w:rtl/>
        </w:rPr>
        <w:t xml:space="preserve">"), עניינו של נאשם 2 ב-תפ"ח (מרכז) 10713-11-21 </w:t>
      </w:r>
      <w:r>
        <w:rPr>
          <w:rFonts w:ascii="David" w:hAnsi="David"/>
          <w:b/>
          <w:bCs/>
          <w:rtl/>
        </w:rPr>
        <w:t>מדינת ישראל נ' קיברה</w:t>
      </w:r>
      <w:r>
        <w:rPr>
          <w:rFonts w:ascii="David" w:hAnsi="David"/>
          <w:rtl/>
        </w:rPr>
        <w:t xml:space="preserve"> (30.1.2024) (להלן: "</w:t>
      </w:r>
      <w:r>
        <w:rPr>
          <w:rFonts w:ascii="David" w:hAnsi="David"/>
          <w:b/>
          <w:bCs/>
          <w:rtl/>
        </w:rPr>
        <w:t>תפ"ח קיברה</w:t>
      </w:r>
      <w:r>
        <w:rPr>
          <w:rFonts w:ascii="David" w:hAnsi="David"/>
          <w:rtl/>
        </w:rPr>
        <w:t xml:space="preserve">"), ו-תפ"ח (מרכז) 60507-09-20 </w:t>
      </w:r>
      <w:r>
        <w:rPr>
          <w:rFonts w:ascii="David" w:hAnsi="David"/>
          <w:b/>
          <w:bCs/>
          <w:rtl/>
        </w:rPr>
        <w:t>מדינת ישראל נ' אלשמאלי</w:t>
      </w:r>
      <w:r>
        <w:rPr>
          <w:rFonts w:ascii="David" w:hAnsi="David"/>
          <w:rtl/>
        </w:rPr>
        <w:t xml:space="preserve"> (להלן: "</w:t>
      </w:r>
      <w:r>
        <w:rPr>
          <w:rFonts w:ascii="David" w:hAnsi="David"/>
          <w:b/>
          <w:bCs/>
          <w:rtl/>
        </w:rPr>
        <w:t>עניין אלשמאלי</w:t>
      </w:r>
      <w:r>
        <w:rPr>
          <w:rFonts w:ascii="David" w:hAnsi="David"/>
          <w:rtl/>
        </w:rPr>
        <w:t>"). לצד זה ציינה ב"כ המאשימה כי מדובר במקרים שנסיבותיהם</w:t>
      </w:r>
      <w:r>
        <w:rPr>
          <w:rFonts w:ascii="David" w:hAnsi="David"/>
        </w:rPr>
        <w:t xml:space="preserve"> </w:t>
      </w:r>
      <w:r>
        <w:rPr>
          <w:rFonts w:ascii="David" w:hAnsi="David"/>
          <w:rtl/>
        </w:rPr>
        <w:t xml:space="preserve">חמורות מהמקרה דנן, ובהתאם, המתחם שמבקשת המאשימה לקבוע הוא נמוך מהמתחם שנקבע במקרים דלעיל. </w:t>
      </w:r>
    </w:p>
    <w:p w:rsidR="00707B7E" w:rsidRDefault="00707B7E" w:rsidP="00707B7E">
      <w:pPr>
        <w:tabs>
          <w:tab w:val="left" w:pos="509"/>
        </w:tabs>
        <w:spacing w:line="360" w:lineRule="auto"/>
        <w:ind w:left="502"/>
        <w:contextualSpacing/>
        <w:jc w:val="both"/>
        <w:rPr>
          <w:rFonts w:ascii="David" w:hAnsi="David"/>
          <w:highlight w:val="yellow"/>
        </w:rPr>
      </w:pPr>
    </w:p>
    <w:p w:rsidR="00707B7E" w:rsidRDefault="00707B7E" w:rsidP="00707B7E">
      <w:pPr>
        <w:tabs>
          <w:tab w:val="left" w:pos="509"/>
        </w:tabs>
        <w:spacing w:line="360" w:lineRule="auto"/>
        <w:ind w:left="509"/>
        <w:contextualSpacing/>
        <w:jc w:val="both"/>
        <w:rPr>
          <w:rFonts w:ascii="David" w:hAnsi="David"/>
        </w:rPr>
      </w:pPr>
      <w:r>
        <w:rPr>
          <w:rFonts w:ascii="David" w:hAnsi="David"/>
          <w:rtl/>
        </w:rPr>
        <w:t xml:space="preserve">עוד הפנתה המאשימה למקרים של רצח באדישות, שלא באמצעות נשק חם: ע"פ 2654/22 </w:t>
      </w:r>
      <w:r>
        <w:rPr>
          <w:rFonts w:ascii="David" w:hAnsi="David"/>
          <w:b/>
          <w:bCs/>
          <w:rtl/>
        </w:rPr>
        <w:t>מדינת ישראל נ' דישלבסקי</w:t>
      </w:r>
      <w:r>
        <w:rPr>
          <w:rFonts w:ascii="David" w:hAnsi="David"/>
          <w:rtl/>
        </w:rPr>
        <w:t xml:space="preserve"> (6.12.2022) (להלן: "</w:t>
      </w:r>
      <w:r>
        <w:rPr>
          <w:rFonts w:ascii="David" w:hAnsi="David"/>
          <w:b/>
          <w:bCs/>
          <w:rtl/>
        </w:rPr>
        <w:t>עניין דישלבסקי</w:t>
      </w:r>
      <w:r>
        <w:rPr>
          <w:rFonts w:ascii="David" w:hAnsi="David"/>
          <w:rtl/>
        </w:rPr>
        <w:t>"); תפ"ח (ב"ש) 44290-07-22 </w:t>
      </w:r>
      <w:r>
        <w:rPr>
          <w:rFonts w:ascii="David" w:hAnsi="David"/>
          <w:b/>
          <w:bCs/>
          <w:rtl/>
        </w:rPr>
        <w:t>מדינת ישראל נ' אמסלם</w:t>
      </w:r>
      <w:r>
        <w:rPr>
          <w:rFonts w:ascii="David" w:hAnsi="David"/>
          <w:rtl/>
        </w:rPr>
        <w:t xml:space="preserve"> (17.12.2023) (להלן: "</w:t>
      </w:r>
      <w:r>
        <w:rPr>
          <w:rFonts w:ascii="David" w:hAnsi="David"/>
          <w:b/>
          <w:bCs/>
          <w:rtl/>
        </w:rPr>
        <w:t>תפ"ח אמסלם</w:t>
      </w:r>
      <w:r>
        <w:rPr>
          <w:rFonts w:ascii="David" w:hAnsi="David"/>
          <w:rtl/>
        </w:rPr>
        <w:t xml:space="preserve">"); וכן תפ"ח (ב"ש) 58841-11-19 </w:t>
      </w:r>
      <w:r>
        <w:rPr>
          <w:rFonts w:ascii="David" w:hAnsi="David"/>
          <w:b/>
          <w:bCs/>
          <w:rtl/>
        </w:rPr>
        <w:t>מדינת ישראל נ' אשטה</w:t>
      </w:r>
      <w:r>
        <w:rPr>
          <w:rFonts w:ascii="David" w:hAnsi="David"/>
          <w:rtl/>
        </w:rPr>
        <w:t xml:space="preserve"> (6.12.2022) (להלן: "</w:t>
      </w:r>
      <w:r>
        <w:rPr>
          <w:rFonts w:ascii="David" w:hAnsi="David"/>
          <w:b/>
          <w:bCs/>
          <w:rtl/>
        </w:rPr>
        <w:t>תפ"ח אשטה</w:t>
      </w:r>
      <w:r>
        <w:rPr>
          <w:rFonts w:ascii="David" w:hAnsi="David"/>
          <w:rtl/>
        </w:rPr>
        <w:t xml:space="preserve">") שלגביו נטען שנסיבותיו פחותות בחומרתן מהמקרה דנן. </w:t>
      </w:r>
    </w:p>
    <w:p w:rsidR="00707B7E" w:rsidRDefault="00707B7E" w:rsidP="00707B7E">
      <w:pPr>
        <w:tabs>
          <w:tab w:val="left" w:pos="509"/>
        </w:tabs>
        <w:spacing w:line="360" w:lineRule="auto"/>
        <w:ind w:left="509"/>
        <w:contextualSpacing/>
        <w:jc w:val="both"/>
        <w:rPr>
          <w:rFonts w:ascii="David" w:hAnsi="David"/>
          <w:rtl/>
        </w:rPr>
      </w:pPr>
    </w:p>
    <w:p w:rsidR="00707B7E" w:rsidRDefault="00707B7E" w:rsidP="00707B7E">
      <w:pPr>
        <w:numPr>
          <w:ilvl w:val="0"/>
          <w:numId w:val="3"/>
        </w:numPr>
        <w:tabs>
          <w:tab w:val="left" w:pos="509"/>
        </w:tabs>
        <w:spacing w:after="160" w:line="360" w:lineRule="auto"/>
        <w:contextualSpacing/>
        <w:jc w:val="both"/>
        <w:rPr>
          <w:rFonts w:ascii="David" w:hAnsi="David"/>
        </w:rPr>
      </w:pPr>
      <w:r>
        <w:rPr>
          <w:rFonts w:ascii="David" w:hAnsi="David"/>
          <w:rtl/>
        </w:rPr>
        <w:lastRenderedPageBreak/>
        <w:t>אשר לעונש בתוך המתחם: ב"כ המאשימה ביקשה למקם את עונשו של הנאשם בשליש התחתון של מתחם העונש, וזאת בהתחשב בגילו של הנאשם בעת ביצוע העבירה (74), בעברו הנקי וכן במצבו הרפואי. ואולם, אין למקם את העונש בקצהו התחתון של המתחם: הנאשם ניהל הוכחות, ולא נטל אחריות למעשיו. במהלך ניהול המשפט, הטיל הנאשם את האשמה על המנוח, ועד היום הוא שבוי בקונספציה שגויה ואינו נוטל אחריות על מעשיו. ב"כ המאשימה הפנתה לתסקיר שירות המבחן, וציינה שאף שהנאשם ביטא צער וחרטה, הוא מתקשה להתייחס לפגיעה שגרם ודאגתו מתמקדת בעצמו ובבני משפחתו. אליבא דב"כ המאשימה, אין מדובר בתסקיר חיובי.</w:t>
      </w:r>
    </w:p>
    <w:p w:rsidR="00707B7E" w:rsidRDefault="00707B7E" w:rsidP="00707B7E">
      <w:pPr>
        <w:pStyle w:val="ab"/>
        <w:numPr>
          <w:ilvl w:val="0"/>
          <w:numId w:val="3"/>
        </w:numPr>
        <w:tabs>
          <w:tab w:val="left" w:pos="509"/>
        </w:tabs>
        <w:spacing w:line="360" w:lineRule="auto"/>
        <w:jc w:val="both"/>
        <w:rPr>
          <w:rFonts w:ascii="David" w:hAnsi="David" w:cs="David"/>
          <w:sz w:val="24"/>
          <w:szCs w:val="24"/>
        </w:rPr>
      </w:pPr>
      <w:r>
        <w:rPr>
          <w:rFonts w:ascii="David" w:hAnsi="David" w:cs="David"/>
          <w:sz w:val="24"/>
          <w:szCs w:val="24"/>
          <w:rtl/>
        </w:rPr>
        <w:t xml:space="preserve">שיקולי הרתעה: בעבירות רצח דוחקים שיקולי ההרתעה והגמול את נסיבותיו האישיות של הנאשם. נדרשת אפוא מדיניות ענישה מרתיעה ומחמירה שנותנת משקל ממשי להרתעת הרבים: א. אופן קבלת רישיון הנשק - העברת מסר ברור ומרתיע לדרך שבה תופסים בני האדם את ההליך של קבלת רישיון הנשק, במיוחד בתקופה שבה הציבור זוכה לקבל נשק בקלות רבה יותר מבעבר. ב. בנוגע לדרך הפסולה שבה בוצע הירי: ירי ללא בירור מוקדם של העובדות, וכאשר הירי לא כוון לעבר הרגליים, כפי שנהג הנאשם. </w:t>
      </w:r>
    </w:p>
    <w:p w:rsidR="00707B7E" w:rsidRDefault="00707B7E" w:rsidP="00707B7E">
      <w:pPr>
        <w:numPr>
          <w:ilvl w:val="0"/>
          <w:numId w:val="3"/>
        </w:numPr>
        <w:tabs>
          <w:tab w:val="left" w:pos="509"/>
        </w:tabs>
        <w:spacing w:after="160" w:line="360" w:lineRule="auto"/>
        <w:contextualSpacing/>
        <w:jc w:val="both"/>
        <w:rPr>
          <w:rFonts w:ascii="David" w:hAnsi="David"/>
          <w:rtl/>
        </w:rPr>
      </w:pPr>
      <w:r>
        <w:rPr>
          <w:rFonts w:ascii="David" w:hAnsi="David"/>
          <w:rtl/>
        </w:rPr>
        <w:t xml:space="preserve">הפיצוי לנפגעי העבירה: מוסכם על בני המשפחה כי חלק הארי של הפיצוי יועבר לאלמנה ולבנותיו של המנוח. אלמנתו של המנוח, דקלה, ביקשה שהפיצוי ייפסק לטובת הבנות. </w:t>
      </w:r>
    </w:p>
    <w:p w:rsidR="00707B7E" w:rsidRDefault="00707B7E" w:rsidP="00707B7E">
      <w:pPr>
        <w:tabs>
          <w:tab w:val="left" w:pos="509"/>
        </w:tabs>
        <w:spacing w:line="360" w:lineRule="auto"/>
        <w:ind w:left="509"/>
        <w:contextualSpacing/>
        <w:jc w:val="both"/>
        <w:rPr>
          <w:rFonts w:ascii="David" w:hAnsi="David"/>
          <w:rtl/>
        </w:rPr>
      </w:pPr>
    </w:p>
    <w:p w:rsidR="00707B7E" w:rsidRDefault="00707B7E" w:rsidP="00707B7E">
      <w:pPr>
        <w:tabs>
          <w:tab w:val="left" w:pos="509"/>
        </w:tabs>
        <w:spacing w:line="360" w:lineRule="auto"/>
        <w:ind w:left="509" w:hanging="425"/>
        <w:contextualSpacing/>
        <w:jc w:val="both"/>
        <w:rPr>
          <w:rFonts w:ascii="David" w:hAnsi="David"/>
          <w:u w:val="single"/>
          <w:rtl/>
        </w:rPr>
      </w:pPr>
      <w:r>
        <w:rPr>
          <w:rFonts w:ascii="David" w:hAnsi="David"/>
          <w:rtl/>
        </w:rPr>
        <w:t xml:space="preserve"> </w:t>
      </w:r>
      <w:r>
        <w:rPr>
          <w:rFonts w:ascii="David" w:hAnsi="David"/>
          <w:u w:val="single"/>
          <w:rtl/>
        </w:rPr>
        <w:t>טיעוני ב"כ הנאשם</w:t>
      </w:r>
    </w:p>
    <w:p w:rsidR="00707B7E" w:rsidRDefault="00707B7E" w:rsidP="00707B7E">
      <w:pPr>
        <w:tabs>
          <w:tab w:val="left" w:pos="509"/>
        </w:tabs>
        <w:spacing w:line="360" w:lineRule="auto"/>
        <w:ind w:left="502"/>
        <w:contextualSpacing/>
        <w:jc w:val="both"/>
        <w:rPr>
          <w:rFonts w:ascii="David" w:hAnsi="David"/>
        </w:rPr>
      </w:pPr>
    </w:p>
    <w:p w:rsidR="00707B7E" w:rsidRDefault="00707B7E" w:rsidP="00707B7E">
      <w:pPr>
        <w:numPr>
          <w:ilvl w:val="0"/>
          <w:numId w:val="3"/>
        </w:numPr>
        <w:tabs>
          <w:tab w:val="left" w:pos="509"/>
        </w:tabs>
        <w:spacing w:after="160" w:line="360" w:lineRule="auto"/>
        <w:contextualSpacing/>
        <w:jc w:val="both"/>
        <w:rPr>
          <w:rFonts w:ascii="David" w:hAnsi="David"/>
        </w:rPr>
      </w:pPr>
      <w:r>
        <w:rPr>
          <w:rFonts w:ascii="David" w:hAnsi="David"/>
          <w:rtl/>
        </w:rPr>
        <w:t xml:space="preserve">ב"כ הנאשם עתר לקבוע מתחם עונש שנע בין שנת מאסר אחת לארבע שנות מאסר. לנוכח גילו של הנאשם ומצבו הרפואי, עתר ב"כ הנאשם לחרוג מהמתחם עד כדי הימנעות משליחתו של הנאשם למאסר מאחורי סורג ובריח. לחלופין, עתר ב"כ הנאשם להטיל על הנאשם תקופת מאסר קצרה ככל הניתן. </w:t>
      </w:r>
    </w:p>
    <w:p w:rsidR="00707B7E" w:rsidRDefault="00707B7E" w:rsidP="00707B7E">
      <w:pPr>
        <w:tabs>
          <w:tab w:val="left" w:pos="509"/>
        </w:tabs>
        <w:spacing w:line="360" w:lineRule="auto"/>
        <w:ind w:left="509"/>
        <w:contextualSpacing/>
        <w:jc w:val="both"/>
        <w:rPr>
          <w:rFonts w:ascii="David" w:hAnsi="David"/>
        </w:rPr>
      </w:pPr>
    </w:p>
    <w:p w:rsidR="00707B7E" w:rsidRDefault="00707B7E" w:rsidP="00707B7E">
      <w:pPr>
        <w:numPr>
          <w:ilvl w:val="0"/>
          <w:numId w:val="3"/>
        </w:numPr>
        <w:tabs>
          <w:tab w:val="left" w:pos="509"/>
        </w:tabs>
        <w:spacing w:after="160" w:line="360" w:lineRule="auto"/>
        <w:contextualSpacing/>
        <w:jc w:val="both"/>
        <w:rPr>
          <w:rFonts w:ascii="David" w:hAnsi="David"/>
        </w:rPr>
      </w:pPr>
      <w:r>
        <w:rPr>
          <w:rFonts w:ascii="David" w:hAnsi="David"/>
          <w:rtl/>
        </w:rPr>
        <w:t xml:space="preserve">הנסיבות הקשורות בביצוע העבירה: ב"כ הנאשם הדגיש את הנסיבות שהובילו את הנאשם לבצע את המעשה: מוניקה, אשתו של הנאשם שהיא כל עולמו, היא אישה חולה מאוד, שהייתה לאחר ניתוח קשה. באותן נסיבות, הוכתה מוניקה והופלה על ידי המנוח. המנוח היה אדם צעיר, בעל מבנה גוף חסון. הנאשם לא הכיר את המנוח ולא יכול היה לדעת כיצד תסתיים "התקרית". הנאשם הוא אדם מבוגר, חלש וחסר אונים. כעולה מהכרעת הדין, החרדה שבה היה נתון הנאשם ודאגתו לשלומה של אשתו הובילו אותו להשתמש באקדח. לא הייתה לנאשם כוונה לפגוע באיש. המעשה לא היה מתוכנן, אלא בלתי צפוי, והנאשם הגיב כפי שהגיב כדי להציל את אשתו. לפיכך, יש לראות את הנאשם כמי שפעל בקרבה לסייג של הגנה עצמית. לטענת ב"כ הנאשם, רישיון הנשק של הנאשם אמור היה לפקוע מספר שבועות לאחר האירוע. </w:t>
      </w:r>
    </w:p>
    <w:p w:rsidR="00707B7E" w:rsidRDefault="00707B7E" w:rsidP="00707B7E">
      <w:pPr>
        <w:tabs>
          <w:tab w:val="left" w:pos="509"/>
        </w:tabs>
        <w:spacing w:line="360" w:lineRule="auto"/>
        <w:ind w:left="509"/>
        <w:contextualSpacing/>
        <w:jc w:val="both"/>
        <w:rPr>
          <w:rFonts w:ascii="David" w:hAnsi="David"/>
        </w:rPr>
      </w:pPr>
    </w:p>
    <w:p w:rsidR="00707B7E" w:rsidRDefault="00707B7E" w:rsidP="00707B7E">
      <w:pPr>
        <w:tabs>
          <w:tab w:val="left" w:pos="509"/>
        </w:tabs>
        <w:spacing w:line="360" w:lineRule="auto"/>
        <w:ind w:left="509"/>
        <w:contextualSpacing/>
        <w:jc w:val="both"/>
        <w:rPr>
          <w:rFonts w:ascii="David" w:hAnsi="David"/>
          <w:rtl/>
        </w:rPr>
      </w:pPr>
      <w:r>
        <w:rPr>
          <w:rFonts w:ascii="David" w:hAnsi="David"/>
          <w:rtl/>
        </w:rPr>
        <w:t xml:space="preserve">מצבו של הנאשם בזמן האירוע ולאחריו: ב"כ הנאשם הפנה לתיעוד של הנאשם דקות לאחר האירוע, שם נראה הנאשם רועד ושרוי בהלם. </w:t>
      </w:r>
    </w:p>
    <w:p w:rsidR="00707B7E" w:rsidRDefault="00707B7E" w:rsidP="00707B7E">
      <w:pPr>
        <w:tabs>
          <w:tab w:val="left" w:pos="509"/>
        </w:tabs>
        <w:spacing w:line="360" w:lineRule="auto"/>
        <w:ind w:left="510"/>
        <w:contextualSpacing/>
        <w:jc w:val="both"/>
        <w:rPr>
          <w:rFonts w:ascii="David" w:hAnsi="David"/>
          <w:rtl/>
        </w:rPr>
      </w:pPr>
    </w:p>
    <w:p w:rsidR="00707B7E" w:rsidRDefault="00707B7E" w:rsidP="00707B7E">
      <w:pPr>
        <w:pStyle w:val="ab"/>
        <w:numPr>
          <w:ilvl w:val="0"/>
          <w:numId w:val="3"/>
        </w:numPr>
        <w:tabs>
          <w:tab w:val="left" w:pos="509"/>
        </w:tabs>
        <w:spacing w:line="360" w:lineRule="auto"/>
        <w:jc w:val="both"/>
        <w:rPr>
          <w:rFonts w:ascii="David" w:hAnsi="David" w:cs="David"/>
          <w:sz w:val="24"/>
          <w:szCs w:val="24"/>
          <w:rtl/>
        </w:rPr>
      </w:pPr>
      <w:r>
        <w:rPr>
          <w:rFonts w:ascii="David" w:hAnsi="David" w:cs="David"/>
          <w:sz w:val="24"/>
          <w:szCs w:val="24"/>
          <w:rtl/>
        </w:rPr>
        <w:t xml:space="preserve">בקביעת המתחם על בית המשפט להתמקד לא בכותרת העבירה "רצח באדישות", אלא בנסיבות המקרה העומד להכרעה. הסניגור הפנה ל-ת"פ 27212-01-21 (מחוזי ב"ש) </w:t>
      </w:r>
      <w:r>
        <w:rPr>
          <w:rFonts w:ascii="David" w:hAnsi="David" w:cs="David"/>
          <w:b/>
          <w:bCs/>
          <w:sz w:val="24"/>
          <w:szCs w:val="24"/>
          <w:rtl/>
        </w:rPr>
        <w:t>מדינת ישראל נ' שיף</w:t>
      </w:r>
      <w:r>
        <w:rPr>
          <w:rFonts w:ascii="David" w:hAnsi="David" w:cs="David"/>
          <w:sz w:val="24"/>
          <w:szCs w:val="24"/>
          <w:rtl/>
        </w:rPr>
        <w:t xml:space="preserve"> (9.11.2021), וטען כי באותו מקרה, לנוכח הנסיבות המיוחדות שבהן המנוח פרץ לביתו של שיף ונמלט, תיקנה המדינה את כתב האישום מרצח באדישות להמתה בקלות דעת והושתו על הנאשם 9 חודשי מאסר בעבודות שירות. לא נפרט מעבר לאמור, שכן הליך זה כלל אינו רלוונטי למקרה דנן.</w:t>
      </w:r>
    </w:p>
    <w:p w:rsidR="00707B7E" w:rsidRDefault="00707B7E" w:rsidP="00707B7E">
      <w:pPr>
        <w:pStyle w:val="ab"/>
        <w:tabs>
          <w:tab w:val="left" w:pos="509"/>
        </w:tabs>
        <w:spacing w:after="0" w:line="360" w:lineRule="auto"/>
        <w:ind w:left="505"/>
        <w:jc w:val="both"/>
        <w:rPr>
          <w:rFonts w:ascii="David" w:hAnsi="David" w:cs="David"/>
          <w:sz w:val="24"/>
          <w:szCs w:val="24"/>
          <w:rtl/>
        </w:rPr>
      </w:pPr>
    </w:p>
    <w:p w:rsidR="00707B7E" w:rsidRDefault="00707B7E" w:rsidP="00707B7E">
      <w:pPr>
        <w:numPr>
          <w:ilvl w:val="0"/>
          <w:numId w:val="3"/>
        </w:numPr>
        <w:tabs>
          <w:tab w:val="left" w:pos="509"/>
        </w:tabs>
        <w:spacing w:after="160" w:line="360" w:lineRule="auto"/>
        <w:contextualSpacing/>
        <w:jc w:val="both"/>
        <w:rPr>
          <w:rFonts w:ascii="David" w:hAnsi="David"/>
        </w:rPr>
      </w:pPr>
      <w:r>
        <w:rPr>
          <w:rFonts w:ascii="David" w:hAnsi="David"/>
          <w:rtl/>
        </w:rPr>
        <w:t xml:space="preserve">לטענת ב"כ הנאשם, הפסיקה הקיימת בעבירה של רצח באדישות לאחר הרפורמה, אינה רלוונטית למקרה דנן באשר היא נוגעת למקרים חמורים יותר: עבריינים שדקרו או השתמשו באקדח ללא רישיון, אשר פעלו בכנופיות ולשם נקם. כך, למשל, ב-ע"פ 1938/23 </w:t>
      </w:r>
      <w:r>
        <w:rPr>
          <w:rFonts w:ascii="David" w:hAnsi="David"/>
          <w:b/>
          <w:bCs/>
          <w:rtl/>
        </w:rPr>
        <w:t>בלאי נ' מדינת ישראל</w:t>
      </w:r>
      <w:r>
        <w:rPr>
          <w:rFonts w:ascii="David" w:hAnsi="David"/>
          <w:rtl/>
        </w:rPr>
        <w:t xml:space="preserve"> (13.12.2023) ובעניין </w:t>
      </w:r>
      <w:r>
        <w:rPr>
          <w:rFonts w:ascii="David" w:hAnsi="David"/>
          <w:b/>
          <w:bCs/>
          <w:rtl/>
        </w:rPr>
        <w:t>דישלבסקי</w:t>
      </w:r>
      <w:r>
        <w:rPr>
          <w:rFonts w:ascii="David" w:hAnsi="David"/>
          <w:rtl/>
        </w:rPr>
        <w:t xml:space="preserve">. </w:t>
      </w:r>
    </w:p>
    <w:p w:rsidR="00707B7E" w:rsidRDefault="00707B7E" w:rsidP="00707B7E">
      <w:pPr>
        <w:tabs>
          <w:tab w:val="left" w:pos="509"/>
        </w:tabs>
        <w:spacing w:line="360" w:lineRule="auto"/>
        <w:ind w:left="502"/>
        <w:contextualSpacing/>
        <w:jc w:val="both"/>
        <w:rPr>
          <w:rFonts w:ascii="David" w:hAnsi="David"/>
          <w:rtl/>
        </w:rPr>
      </w:pPr>
      <w:r>
        <w:rPr>
          <w:rFonts w:ascii="David" w:hAnsi="David"/>
          <w:rtl/>
        </w:rPr>
        <w:t xml:space="preserve">אליבא דב"כ הנאשם, הואיל ולצורך קביעת המתחם על בית המשפט לשוות לנגד עיניו את נסיבות ביצוע העבירה, יש מקום ללמוד מפסיקה במקרים דומים ואף חמורים מהמקרה דנן, שניתנה עובר לרפורמה בעבירות המתה, דהיינו: הענישה בעבירות של הריגה. </w:t>
      </w:r>
    </w:p>
    <w:p w:rsidR="002F3547" w:rsidRDefault="002F3547" w:rsidP="00707B7E">
      <w:pPr>
        <w:tabs>
          <w:tab w:val="left" w:pos="509"/>
        </w:tabs>
        <w:spacing w:line="360" w:lineRule="auto"/>
        <w:ind w:left="502"/>
        <w:contextualSpacing/>
        <w:jc w:val="both"/>
        <w:rPr>
          <w:rFonts w:ascii="David" w:hAnsi="David"/>
        </w:rPr>
      </w:pPr>
    </w:p>
    <w:p w:rsidR="00707B7E" w:rsidRDefault="00707B7E" w:rsidP="00707B7E">
      <w:pPr>
        <w:pStyle w:val="ab"/>
        <w:numPr>
          <w:ilvl w:val="0"/>
          <w:numId w:val="3"/>
        </w:numPr>
        <w:tabs>
          <w:tab w:val="left" w:pos="509"/>
        </w:tabs>
        <w:spacing w:line="360" w:lineRule="auto"/>
        <w:jc w:val="both"/>
        <w:rPr>
          <w:rFonts w:ascii="David" w:hAnsi="David" w:cs="David"/>
          <w:sz w:val="24"/>
          <w:szCs w:val="24"/>
        </w:rPr>
      </w:pPr>
      <w:r>
        <w:rPr>
          <w:rFonts w:ascii="David" w:hAnsi="David" w:cs="David"/>
          <w:sz w:val="24"/>
          <w:szCs w:val="24"/>
          <w:rtl/>
        </w:rPr>
        <w:t xml:space="preserve">הנסיבות שאינן קשורות בביצוע העבירה: הנאשם היה כבן 74 בזמן ביצוע העבירה, ללא עבר פלילי, אדם שבמהלך חייו לא פגע באיש. במשך שנים רבות תרם הנאשם לקהילה: כעולה חדש הוא התנדב בקיבוץ, ובהמשך סייע לילדים נכים, הן בתשלום והן בהתנדבות. הנאשם נטל אחריות על מעשיו. הוא שיתף פעולה עם המשטרה, והודה בגרימת מותו של המנוח. ניהול התיק היה ענייני והתמקד בטענות משפטיות של ההגנה, ללא כפירה מיותרת בעובדות, וכאשר מרבית הראיות הוגשו בהסכמה. לעונש שיוטל על הנאשם תהיה השלכה גם על משפחתו: מוניקה וילדיו, לרבות בנו החולה הזקוק לסיוע של הוריו. </w:t>
      </w:r>
    </w:p>
    <w:p w:rsidR="00707B7E" w:rsidRDefault="00707B7E" w:rsidP="00707B7E">
      <w:pPr>
        <w:pStyle w:val="ab"/>
        <w:tabs>
          <w:tab w:val="left" w:pos="509"/>
        </w:tabs>
        <w:spacing w:line="360" w:lineRule="auto"/>
        <w:ind w:left="502"/>
        <w:jc w:val="both"/>
        <w:rPr>
          <w:rFonts w:ascii="David" w:hAnsi="David" w:cs="David"/>
          <w:sz w:val="24"/>
          <w:szCs w:val="24"/>
        </w:rPr>
      </w:pPr>
      <w:r>
        <w:rPr>
          <w:rFonts w:ascii="David" w:hAnsi="David" w:cs="David"/>
          <w:sz w:val="24"/>
          <w:szCs w:val="24"/>
          <w:rtl/>
        </w:rPr>
        <w:t xml:space="preserve">ב"כ הנאשם הפנה גם לחלוף הזמן מעת ביצוע העבירה. </w:t>
      </w:r>
    </w:p>
    <w:p w:rsidR="00707B7E" w:rsidRDefault="00707B7E" w:rsidP="00707B7E">
      <w:pPr>
        <w:pStyle w:val="ab"/>
        <w:tabs>
          <w:tab w:val="left" w:pos="509"/>
        </w:tabs>
        <w:spacing w:line="360" w:lineRule="auto"/>
        <w:ind w:left="502"/>
        <w:jc w:val="both"/>
        <w:rPr>
          <w:rFonts w:ascii="David" w:hAnsi="David" w:cs="David"/>
          <w:sz w:val="24"/>
          <w:szCs w:val="24"/>
          <w:rtl/>
        </w:rPr>
      </w:pPr>
    </w:p>
    <w:p w:rsidR="00707B7E" w:rsidRDefault="00707B7E" w:rsidP="00707B7E">
      <w:pPr>
        <w:pStyle w:val="ab"/>
        <w:numPr>
          <w:ilvl w:val="0"/>
          <w:numId w:val="3"/>
        </w:numPr>
        <w:tabs>
          <w:tab w:val="left" w:pos="509"/>
        </w:tabs>
        <w:spacing w:line="360" w:lineRule="auto"/>
        <w:jc w:val="both"/>
        <w:rPr>
          <w:rFonts w:ascii="David" w:hAnsi="David" w:cs="David"/>
          <w:sz w:val="24"/>
          <w:szCs w:val="24"/>
          <w:rtl/>
        </w:rPr>
      </w:pPr>
      <w:r>
        <w:rPr>
          <w:rFonts w:ascii="David" w:hAnsi="David" w:cs="David"/>
          <w:sz w:val="24"/>
          <w:szCs w:val="24"/>
          <w:rtl/>
        </w:rPr>
        <w:t xml:space="preserve">חריגה ממתחם העונש עקב מצבו הבריאותי של הנאשם: כיום הנאשם הוא כבן 79, סובל ממגוון בעיות בריאותיות ואינו מסוכן לאיש. לאחר האירוע הידרדר מאוד מצבו הבריאותי, ולישיבת הטיעונים לעונש הגיע הנאשם כשהוא מחובר למכשיר חמצן. לעמדת ההגנה, במצבו הבריאותי המורכב של הנאשם, ריצוי מאסר מאחורי סורג ובריח יהיה הרה אסון. </w:t>
      </w:r>
    </w:p>
    <w:p w:rsidR="00707B7E" w:rsidRDefault="00707B7E" w:rsidP="00707B7E">
      <w:pPr>
        <w:pStyle w:val="ab"/>
        <w:tabs>
          <w:tab w:val="left" w:pos="509"/>
        </w:tabs>
        <w:spacing w:line="360" w:lineRule="auto"/>
        <w:ind w:left="502"/>
        <w:jc w:val="both"/>
        <w:rPr>
          <w:rFonts w:ascii="David" w:hAnsi="David" w:cs="David"/>
          <w:sz w:val="24"/>
          <w:szCs w:val="24"/>
        </w:rPr>
      </w:pPr>
    </w:p>
    <w:p w:rsidR="00707B7E" w:rsidRDefault="00707B7E" w:rsidP="00707B7E">
      <w:pPr>
        <w:pStyle w:val="ab"/>
        <w:tabs>
          <w:tab w:val="left" w:pos="509"/>
        </w:tabs>
        <w:spacing w:line="360" w:lineRule="auto"/>
        <w:ind w:left="502"/>
        <w:jc w:val="both"/>
        <w:rPr>
          <w:rFonts w:ascii="David" w:hAnsi="David" w:cs="David"/>
          <w:sz w:val="24"/>
          <w:szCs w:val="24"/>
          <w:rtl/>
        </w:rPr>
      </w:pPr>
      <w:r>
        <w:rPr>
          <w:rFonts w:ascii="David" w:hAnsi="David" w:cs="David"/>
          <w:sz w:val="24"/>
          <w:szCs w:val="24"/>
          <w:rtl/>
        </w:rPr>
        <w:lastRenderedPageBreak/>
        <w:t xml:space="preserve">לבית המשפט הוגשה אסופת מסמכים רפואיים בעניינו של הנאשם (ר' פירוט לעיל במסגרת הראיות לעונש). </w:t>
      </w:r>
    </w:p>
    <w:p w:rsidR="00707B7E" w:rsidRDefault="00707B7E" w:rsidP="00707B7E">
      <w:pPr>
        <w:pStyle w:val="ab"/>
        <w:tabs>
          <w:tab w:val="left" w:pos="509"/>
        </w:tabs>
        <w:spacing w:line="360" w:lineRule="auto"/>
        <w:ind w:left="502"/>
        <w:jc w:val="both"/>
        <w:rPr>
          <w:rFonts w:ascii="David" w:hAnsi="David" w:cs="David"/>
          <w:sz w:val="24"/>
          <w:szCs w:val="24"/>
          <w:rtl/>
        </w:rPr>
      </w:pPr>
    </w:p>
    <w:p w:rsidR="00707B7E" w:rsidRDefault="00707B7E" w:rsidP="00707B7E">
      <w:pPr>
        <w:pStyle w:val="ab"/>
        <w:tabs>
          <w:tab w:val="left" w:pos="509"/>
        </w:tabs>
        <w:spacing w:line="360" w:lineRule="auto"/>
        <w:ind w:left="502"/>
        <w:jc w:val="both"/>
        <w:rPr>
          <w:rFonts w:ascii="David" w:hAnsi="David" w:cs="David"/>
          <w:sz w:val="24"/>
          <w:szCs w:val="24"/>
          <w:rtl/>
        </w:rPr>
      </w:pPr>
      <w:r>
        <w:rPr>
          <w:rFonts w:ascii="David" w:hAnsi="David" w:cs="David"/>
          <w:sz w:val="24"/>
          <w:szCs w:val="24"/>
          <w:rtl/>
        </w:rPr>
        <w:t xml:space="preserve">בשל מצבו הרפואי של הנאשם מבקשת ההגנה שבית המשפט יחרוג ממתחם העונש. בהינתן שעל פי הוראת החוק, החריגה מהעונש היא בשל שיקולי שיקום, הפנה ב"כ הנאשם לפסיקה כדלקמן: ע"פ 689/21 </w:t>
      </w:r>
      <w:r>
        <w:rPr>
          <w:rFonts w:ascii="David" w:hAnsi="David" w:cs="David"/>
          <w:b/>
          <w:bCs/>
          <w:sz w:val="24"/>
          <w:szCs w:val="24"/>
          <w:rtl/>
        </w:rPr>
        <w:t>פלוני נ' מדינת ישראל</w:t>
      </w:r>
      <w:r>
        <w:rPr>
          <w:rFonts w:ascii="David" w:hAnsi="David" w:cs="David"/>
          <w:sz w:val="24"/>
          <w:szCs w:val="24"/>
          <w:rtl/>
        </w:rPr>
        <w:t xml:space="preserve"> (29.12.2022) (להלן: "</w:t>
      </w:r>
      <w:r>
        <w:rPr>
          <w:rFonts w:ascii="David" w:hAnsi="David" w:cs="David"/>
          <w:b/>
          <w:bCs/>
          <w:sz w:val="24"/>
          <w:szCs w:val="24"/>
          <w:rtl/>
        </w:rPr>
        <w:t>עניין</w:t>
      </w:r>
      <w:r>
        <w:rPr>
          <w:rFonts w:ascii="David" w:hAnsi="David" w:cs="David"/>
          <w:sz w:val="24"/>
          <w:szCs w:val="24"/>
          <w:rtl/>
        </w:rPr>
        <w:t xml:space="preserve"> </w:t>
      </w:r>
      <w:r>
        <w:rPr>
          <w:rFonts w:ascii="David" w:hAnsi="David" w:cs="David"/>
          <w:b/>
          <w:bCs/>
          <w:sz w:val="24"/>
          <w:szCs w:val="24"/>
          <w:rtl/>
        </w:rPr>
        <w:t>פלוני</w:t>
      </w:r>
      <w:r>
        <w:rPr>
          <w:rFonts w:ascii="David" w:hAnsi="David" w:cs="David"/>
          <w:sz w:val="24"/>
          <w:szCs w:val="24"/>
          <w:rtl/>
        </w:rPr>
        <w:t xml:space="preserve">"); ע"פ 3234/22 </w:t>
      </w:r>
      <w:r>
        <w:rPr>
          <w:rFonts w:ascii="David" w:hAnsi="David" w:cs="David"/>
          <w:b/>
          <w:bCs/>
          <w:sz w:val="24"/>
          <w:szCs w:val="24"/>
          <w:rtl/>
        </w:rPr>
        <w:t>הרוש נ' מדינת ישראל</w:t>
      </w:r>
      <w:r>
        <w:rPr>
          <w:rFonts w:ascii="David" w:hAnsi="David" w:cs="David"/>
          <w:sz w:val="24"/>
          <w:szCs w:val="24"/>
          <w:rtl/>
        </w:rPr>
        <w:t xml:space="preserve"> (7.11.2022) (להלן: "</w:t>
      </w:r>
      <w:r>
        <w:rPr>
          <w:rFonts w:ascii="David" w:hAnsi="David" w:cs="David"/>
          <w:b/>
          <w:bCs/>
          <w:sz w:val="24"/>
          <w:szCs w:val="24"/>
          <w:rtl/>
        </w:rPr>
        <w:t>עניין הרוש</w:t>
      </w:r>
      <w:r>
        <w:rPr>
          <w:rFonts w:ascii="David" w:hAnsi="David" w:cs="David"/>
          <w:sz w:val="24"/>
          <w:szCs w:val="24"/>
          <w:rtl/>
        </w:rPr>
        <w:t xml:space="preserve">"); ע"פ 5669/14 </w:t>
      </w:r>
      <w:r>
        <w:rPr>
          <w:rFonts w:ascii="David" w:hAnsi="David" w:cs="David"/>
          <w:b/>
          <w:bCs/>
          <w:sz w:val="24"/>
          <w:szCs w:val="24"/>
          <w:rtl/>
        </w:rPr>
        <w:t>לופוליאנסקי נ' מדינת ישראל</w:t>
      </w:r>
      <w:r>
        <w:rPr>
          <w:rFonts w:ascii="David" w:hAnsi="David" w:cs="David"/>
          <w:sz w:val="24"/>
          <w:szCs w:val="24"/>
          <w:rtl/>
        </w:rPr>
        <w:t xml:space="preserve"> (מאוחד עם ע"פ 4559/14 </w:t>
      </w:r>
      <w:r>
        <w:rPr>
          <w:rFonts w:ascii="David" w:hAnsi="David" w:cs="David"/>
          <w:b/>
          <w:bCs/>
          <w:sz w:val="24"/>
          <w:szCs w:val="24"/>
          <w:rtl/>
        </w:rPr>
        <w:t>מדינת ישראל נ' קלנר</w:t>
      </w:r>
      <w:r>
        <w:rPr>
          <w:rFonts w:ascii="David" w:hAnsi="David" w:cs="David"/>
          <w:sz w:val="24"/>
          <w:szCs w:val="24"/>
          <w:rtl/>
        </w:rPr>
        <w:t>) (29.12.2015) (להלן: "</w:t>
      </w:r>
      <w:r>
        <w:rPr>
          <w:rFonts w:ascii="David" w:hAnsi="David" w:cs="David"/>
          <w:b/>
          <w:bCs/>
          <w:sz w:val="24"/>
          <w:szCs w:val="24"/>
          <w:rtl/>
        </w:rPr>
        <w:t>עניין לופוליאנסקי</w:t>
      </w:r>
      <w:r>
        <w:rPr>
          <w:rFonts w:ascii="David" w:hAnsi="David" w:cs="David"/>
          <w:sz w:val="24"/>
          <w:szCs w:val="24"/>
          <w:rtl/>
        </w:rPr>
        <w:t xml:space="preserve">"); ע"פ 823/06 </w:t>
      </w:r>
      <w:r>
        <w:rPr>
          <w:rFonts w:ascii="David" w:hAnsi="David" w:cs="David"/>
          <w:b/>
          <w:bCs/>
          <w:sz w:val="24"/>
          <w:szCs w:val="24"/>
          <w:rtl/>
        </w:rPr>
        <w:t xml:space="preserve">מדינת ישראל נ' דורפמן </w:t>
      </w:r>
      <w:r>
        <w:rPr>
          <w:rFonts w:ascii="David" w:hAnsi="David" w:cs="David"/>
          <w:sz w:val="24"/>
          <w:szCs w:val="24"/>
          <w:rtl/>
        </w:rPr>
        <w:t>(26.9.2006) (להלן: "</w:t>
      </w:r>
      <w:r>
        <w:rPr>
          <w:rFonts w:ascii="David" w:hAnsi="David" w:cs="David"/>
          <w:b/>
          <w:bCs/>
          <w:sz w:val="24"/>
          <w:szCs w:val="24"/>
          <w:rtl/>
        </w:rPr>
        <w:t>עניין דורפמן</w:t>
      </w:r>
      <w:r>
        <w:rPr>
          <w:rFonts w:ascii="David" w:hAnsi="David" w:cs="David"/>
          <w:sz w:val="24"/>
          <w:szCs w:val="24"/>
          <w:rtl/>
        </w:rPr>
        <w:t xml:space="preserve">"). </w:t>
      </w:r>
    </w:p>
    <w:p w:rsidR="00707B7E" w:rsidRDefault="00707B7E" w:rsidP="00707B7E">
      <w:pPr>
        <w:pStyle w:val="ab"/>
        <w:tabs>
          <w:tab w:val="left" w:pos="509"/>
        </w:tabs>
        <w:spacing w:line="360" w:lineRule="auto"/>
        <w:ind w:left="502"/>
        <w:jc w:val="both"/>
        <w:rPr>
          <w:rFonts w:ascii="David" w:hAnsi="David" w:cs="David"/>
          <w:sz w:val="24"/>
          <w:szCs w:val="24"/>
          <w:rtl/>
        </w:rPr>
      </w:pPr>
      <w:r>
        <w:rPr>
          <w:rFonts w:ascii="David" w:hAnsi="David" w:cs="David"/>
          <w:sz w:val="24"/>
          <w:szCs w:val="24"/>
          <w:rtl/>
        </w:rPr>
        <w:t xml:space="preserve"> </w:t>
      </w:r>
    </w:p>
    <w:p w:rsidR="00707B7E" w:rsidRDefault="00707B7E" w:rsidP="00707B7E">
      <w:pPr>
        <w:numPr>
          <w:ilvl w:val="0"/>
          <w:numId w:val="3"/>
        </w:numPr>
        <w:tabs>
          <w:tab w:val="left" w:pos="509"/>
        </w:tabs>
        <w:spacing w:after="160" w:line="360" w:lineRule="auto"/>
        <w:contextualSpacing/>
        <w:jc w:val="both"/>
        <w:rPr>
          <w:rFonts w:ascii="David" w:hAnsi="David"/>
          <w:rtl/>
        </w:rPr>
      </w:pPr>
      <w:r>
        <w:rPr>
          <w:rFonts w:ascii="David" w:hAnsi="David"/>
          <w:u w:val="single"/>
          <w:rtl/>
        </w:rPr>
        <w:t>הנאשם</w:t>
      </w:r>
      <w:r>
        <w:rPr>
          <w:rFonts w:ascii="David" w:hAnsi="David"/>
          <w:rtl/>
        </w:rPr>
        <w:t xml:space="preserve"> ביקש את סליחת בני משפחת המנוח, ואמר כי "בלי כוונה של אף אחד קרתה טרגדיה. לכולנו קרה טרגדיה, גם לי. אני לא חלמתי שבגיל 79 יקרה לי דבר כזה... אני מבקש ממש סליחה אליכם לכולם". </w:t>
      </w:r>
    </w:p>
    <w:p w:rsidR="00707B7E" w:rsidRDefault="00707B7E" w:rsidP="00707B7E">
      <w:pPr>
        <w:tabs>
          <w:tab w:val="left" w:pos="509"/>
        </w:tabs>
        <w:spacing w:line="360" w:lineRule="auto"/>
        <w:ind w:left="509"/>
        <w:contextualSpacing/>
        <w:jc w:val="both"/>
        <w:rPr>
          <w:rFonts w:ascii="David" w:hAnsi="David"/>
          <w:highlight w:val="yellow"/>
          <w:rtl/>
        </w:rPr>
      </w:pPr>
    </w:p>
    <w:p w:rsidR="00707B7E" w:rsidRDefault="00707B7E" w:rsidP="00707B7E">
      <w:pPr>
        <w:tabs>
          <w:tab w:val="left" w:pos="509"/>
        </w:tabs>
        <w:spacing w:line="360" w:lineRule="auto"/>
        <w:ind w:left="509" w:hanging="425"/>
        <w:contextualSpacing/>
        <w:jc w:val="both"/>
        <w:rPr>
          <w:rFonts w:ascii="David" w:hAnsi="David"/>
          <w:b/>
          <w:bCs/>
        </w:rPr>
      </w:pPr>
      <w:r>
        <w:rPr>
          <w:rFonts w:ascii="David" w:hAnsi="David"/>
          <w:b/>
          <w:bCs/>
          <w:rtl/>
        </w:rPr>
        <w:t>דיון והכרעה</w:t>
      </w:r>
    </w:p>
    <w:p w:rsidR="00707B7E" w:rsidRDefault="00707B7E" w:rsidP="00707B7E">
      <w:pPr>
        <w:tabs>
          <w:tab w:val="left" w:pos="509"/>
        </w:tabs>
        <w:spacing w:line="360" w:lineRule="auto"/>
        <w:ind w:left="509" w:hanging="425"/>
        <w:contextualSpacing/>
        <w:rPr>
          <w:rFonts w:ascii="David" w:hAnsi="David"/>
          <w:rtl/>
        </w:rPr>
      </w:pPr>
    </w:p>
    <w:p w:rsidR="00707B7E" w:rsidRDefault="00707B7E" w:rsidP="00707B7E">
      <w:pPr>
        <w:numPr>
          <w:ilvl w:val="0"/>
          <w:numId w:val="3"/>
        </w:numPr>
        <w:tabs>
          <w:tab w:val="left" w:pos="509"/>
        </w:tabs>
        <w:spacing w:after="160" w:line="360" w:lineRule="auto"/>
        <w:contextualSpacing/>
        <w:jc w:val="both"/>
        <w:rPr>
          <w:rFonts w:ascii="David" w:hAnsi="David"/>
          <w:rtl/>
        </w:rPr>
      </w:pPr>
      <w:r>
        <w:rPr>
          <w:rFonts w:ascii="David" w:hAnsi="David"/>
          <w:rtl/>
        </w:rPr>
        <w:t>לפי תיקון מס' 113 ל</w:t>
      </w:r>
      <w:hyperlink r:id="rId9" w:history="1">
        <w:r w:rsidRPr="002F3547">
          <w:rPr>
            <w:rtl/>
          </w:rPr>
          <w:t>חוק העונשין</w:t>
        </w:r>
      </w:hyperlink>
      <w:r>
        <w:rPr>
          <w:rFonts w:ascii="David" w:hAnsi="David"/>
          <w:rtl/>
        </w:rPr>
        <w:t xml:space="preserve">, יקבע בית המשפט מתחם עונש הולם למעשה העבירה שביצע הנאשם בהתאם לעיקרון המנחה בענישה. העיקרון המנחה בענישה הוא קיומו של יחס הולם בין חומרת מעשה העבירה בנסיבותיו ומידת אשמו של הנאשם ובין סוג העונש המוטל עליו ומידתו. </w:t>
      </w:r>
    </w:p>
    <w:p w:rsidR="002F3547" w:rsidRDefault="002F3547" w:rsidP="00707B7E">
      <w:pPr>
        <w:tabs>
          <w:tab w:val="left" w:pos="509"/>
        </w:tabs>
        <w:spacing w:line="360" w:lineRule="auto"/>
        <w:ind w:left="509"/>
        <w:contextualSpacing/>
        <w:jc w:val="both"/>
        <w:rPr>
          <w:rFonts w:ascii="David" w:hAnsi="David"/>
          <w:rtl/>
        </w:rPr>
      </w:pPr>
    </w:p>
    <w:p w:rsidR="00707B7E" w:rsidRDefault="00707B7E" w:rsidP="00707B7E">
      <w:pPr>
        <w:tabs>
          <w:tab w:val="left" w:pos="509"/>
        </w:tabs>
        <w:spacing w:line="360" w:lineRule="auto"/>
        <w:ind w:left="509"/>
        <w:contextualSpacing/>
        <w:jc w:val="both"/>
        <w:rPr>
          <w:rFonts w:ascii="David" w:hAnsi="David"/>
        </w:rPr>
      </w:pPr>
      <w:r>
        <w:rPr>
          <w:rFonts w:ascii="David" w:hAnsi="David"/>
          <w:rtl/>
        </w:rPr>
        <w:t xml:space="preserve">לשם קביעת מתחם העונש יתחשב בית המשפט בערך החברתי שנפגע מביצוע העבירה, במידת הפגיעה בו, במדיניות הענישה הנהוגה ובנסיבות הקשורות בביצוע העבירה. </w:t>
      </w:r>
    </w:p>
    <w:p w:rsidR="002F3547" w:rsidRDefault="002F3547" w:rsidP="00707B7E">
      <w:pPr>
        <w:tabs>
          <w:tab w:val="left" w:pos="509"/>
        </w:tabs>
        <w:spacing w:line="360" w:lineRule="auto"/>
        <w:ind w:left="509"/>
        <w:contextualSpacing/>
        <w:jc w:val="both"/>
        <w:rPr>
          <w:rFonts w:ascii="David" w:hAnsi="David"/>
          <w:rtl/>
        </w:rPr>
      </w:pPr>
    </w:p>
    <w:p w:rsidR="00707B7E" w:rsidRDefault="00707B7E" w:rsidP="00707B7E">
      <w:pPr>
        <w:tabs>
          <w:tab w:val="left" w:pos="509"/>
        </w:tabs>
        <w:spacing w:line="360" w:lineRule="auto"/>
        <w:ind w:left="509"/>
        <w:contextualSpacing/>
        <w:jc w:val="both"/>
        <w:rPr>
          <w:rFonts w:ascii="David" w:hAnsi="David"/>
          <w:rtl/>
        </w:rPr>
      </w:pPr>
      <w:r>
        <w:rPr>
          <w:rFonts w:ascii="David" w:hAnsi="David"/>
          <w:rtl/>
        </w:rPr>
        <w:t xml:space="preserve">בגזירת העונש המתאים לנאשם, "רשאי בית המשפט להתחשב בהתקיימות נסיבות שאינן קשורות בביצוע העבירה, ובמידה שבה התקיימו, ככל שסבר כי ראוי לתת להן משקל בנסיבות המקרה, ובלבד שהעונש לא יחרוג ממתחם העונש ההולם". </w:t>
      </w:r>
    </w:p>
    <w:p w:rsidR="002F3547" w:rsidRDefault="002F3547" w:rsidP="00707B7E">
      <w:pPr>
        <w:tabs>
          <w:tab w:val="left" w:pos="509"/>
        </w:tabs>
        <w:spacing w:line="360" w:lineRule="auto"/>
        <w:ind w:left="509"/>
        <w:contextualSpacing/>
        <w:jc w:val="both"/>
        <w:rPr>
          <w:rFonts w:ascii="David" w:hAnsi="David"/>
          <w:rtl/>
        </w:rPr>
      </w:pPr>
    </w:p>
    <w:p w:rsidR="00707B7E" w:rsidRDefault="00707B7E" w:rsidP="00707B7E">
      <w:pPr>
        <w:tabs>
          <w:tab w:val="left" w:pos="509"/>
        </w:tabs>
        <w:spacing w:line="360" w:lineRule="auto"/>
        <w:ind w:left="509"/>
        <w:contextualSpacing/>
        <w:jc w:val="both"/>
        <w:rPr>
          <w:rFonts w:ascii="David" w:hAnsi="David"/>
        </w:rPr>
      </w:pPr>
      <w:r>
        <w:rPr>
          <w:rFonts w:ascii="David" w:hAnsi="David"/>
          <w:rtl/>
        </w:rPr>
        <w:t xml:space="preserve">בנוסף, בגזירת העונש רשאי בית המשפט לחרוג ממתחם העונש ההולם בשל שיקולי שיקום או הגנה על שלום הציבור (ר' </w:t>
      </w:r>
      <w:hyperlink r:id="rId10" w:history="1">
        <w:r w:rsidRPr="002F3547">
          <w:rPr>
            <w:rtl/>
          </w:rPr>
          <w:t>פרק ו', סימן א'</w:t>
        </w:r>
      </w:hyperlink>
      <w:r>
        <w:rPr>
          <w:rFonts w:ascii="David" w:hAnsi="David"/>
          <w:rtl/>
        </w:rPr>
        <w:t>1 ל</w:t>
      </w:r>
      <w:hyperlink r:id="rId11" w:history="1">
        <w:r w:rsidRPr="002F3547">
          <w:rPr>
            <w:rtl/>
          </w:rPr>
          <w:t>חוק העונשין</w:t>
        </w:r>
      </w:hyperlink>
      <w:r>
        <w:rPr>
          <w:rFonts w:ascii="David" w:hAnsi="David"/>
          <w:rtl/>
        </w:rPr>
        <w:t>: הבניית שיקול הדעת השיפוטי בענישה).</w:t>
      </w:r>
    </w:p>
    <w:p w:rsidR="00B14E4A" w:rsidRDefault="00B14E4A" w:rsidP="00707B7E">
      <w:pPr>
        <w:tabs>
          <w:tab w:val="left" w:pos="509"/>
        </w:tabs>
        <w:spacing w:line="360" w:lineRule="auto"/>
        <w:ind w:left="509"/>
        <w:contextualSpacing/>
        <w:jc w:val="both"/>
        <w:rPr>
          <w:rFonts w:ascii="David" w:hAnsi="David"/>
          <w:rtl/>
        </w:rPr>
      </w:pPr>
    </w:p>
    <w:p w:rsidR="00707B7E" w:rsidRDefault="00707B7E" w:rsidP="00707B7E">
      <w:pPr>
        <w:tabs>
          <w:tab w:val="left" w:pos="509"/>
        </w:tabs>
        <w:spacing w:line="360" w:lineRule="auto"/>
        <w:ind w:left="509"/>
        <w:contextualSpacing/>
        <w:jc w:val="both"/>
        <w:rPr>
          <w:rFonts w:ascii="David" w:hAnsi="David"/>
          <w:rtl/>
        </w:rPr>
      </w:pPr>
      <w:r>
        <w:rPr>
          <w:rFonts w:ascii="David" w:hAnsi="David"/>
          <w:rtl/>
        </w:rPr>
        <w:t xml:space="preserve">במקרים חריגים הכיר בית המשפט במצב רפואי קשה של נאשם כשיקול המצדיק, במקרים המתאימים, לחרוג לקולה ממתחם העונש ההולם מטעמי צדק [ר' עניין </w:t>
      </w:r>
      <w:r>
        <w:rPr>
          <w:rFonts w:ascii="David" w:hAnsi="David"/>
          <w:b/>
          <w:bCs/>
          <w:rtl/>
        </w:rPr>
        <w:t>לופוליאנסקי</w:t>
      </w:r>
      <w:r>
        <w:rPr>
          <w:rFonts w:ascii="David" w:hAnsi="David"/>
          <w:rtl/>
        </w:rPr>
        <w:t xml:space="preserve">; ע"פ </w:t>
      </w:r>
      <w:r>
        <w:rPr>
          <w:rFonts w:ascii="David" w:hAnsi="David"/>
          <w:rtl/>
        </w:rPr>
        <w:lastRenderedPageBreak/>
        <w:t xml:space="preserve">4506/15 </w:t>
      </w:r>
      <w:r>
        <w:rPr>
          <w:rFonts w:ascii="David" w:hAnsi="David"/>
          <w:b/>
          <w:bCs/>
          <w:rtl/>
        </w:rPr>
        <w:t>בר נ' מדינת ישראל</w:t>
      </w:r>
      <w:r>
        <w:rPr>
          <w:rFonts w:ascii="David" w:hAnsi="David"/>
          <w:rtl/>
        </w:rPr>
        <w:t>, בפסקה 10 לחוות דעתו של כב' השופט פוגלמן (11.12.2016) (להלן: "</w:t>
      </w:r>
      <w:r>
        <w:rPr>
          <w:rFonts w:ascii="David" w:hAnsi="David"/>
          <w:b/>
          <w:bCs/>
          <w:rtl/>
        </w:rPr>
        <w:t>עניין בר</w:t>
      </w:r>
      <w:r>
        <w:rPr>
          <w:rFonts w:ascii="David" w:hAnsi="David"/>
          <w:rtl/>
        </w:rPr>
        <w:t>")].</w:t>
      </w:r>
    </w:p>
    <w:p w:rsidR="00707B7E" w:rsidRDefault="00707B7E" w:rsidP="00707B7E">
      <w:pPr>
        <w:tabs>
          <w:tab w:val="left" w:pos="509"/>
        </w:tabs>
        <w:spacing w:line="360" w:lineRule="auto"/>
        <w:ind w:left="509" w:hanging="425"/>
        <w:contextualSpacing/>
        <w:jc w:val="both"/>
        <w:rPr>
          <w:rFonts w:ascii="David" w:hAnsi="David"/>
          <w:rtl/>
        </w:rPr>
      </w:pPr>
    </w:p>
    <w:p w:rsidR="00707B7E" w:rsidRDefault="00707B7E" w:rsidP="00707B7E">
      <w:pPr>
        <w:tabs>
          <w:tab w:val="left" w:pos="509"/>
        </w:tabs>
        <w:spacing w:line="360" w:lineRule="auto"/>
        <w:ind w:left="509" w:hanging="425"/>
        <w:contextualSpacing/>
        <w:rPr>
          <w:rFonts w:ascii="David" w:hAnsi="David"/>
          <w:b/>
          <w:bCs/>
          <w:rtl/>
        </w:rPr>
      </w:pPr>
      <w:r>
        <w:rPr>
          <w:rFonts w:ascii="David" w:hAnsi="David"/>
          <w:b/>
          <w:bCs/>
          <w:rtl/>
        </w:rPr>
        <w:t>מתחם העונש ההולם</w:t>
      </w:r>
    </w:p>
    <w:p w:rsidR="00707B7E" w:rsidRDefault="00707B7E" w:rsidP="00707B7E">
      <w:pPr>
        <w:tabs>
          <w:tab w:val="left" w:pos="509"/>
        </w:tabs>
        <w:spacing w:line="360" w:lineRule="auto"/>
        <w:ind w:left="509" w:hanging="425"/>
        <w:contextualSpacing/>
        <w:jc w:val="both"/>
        <w:rPr>
          <w:rFonts w:ascii="David" w:hAnsi="David"/>
        </w:rPr>
      </w:pPr>
    </w:p>
    <w:p w:rsidR="00707B7E" w:rsidRDefault="00707B7E" w:rsidP="00707B7E">
      <w:pPr>
        <w:tabs>
          <w:tab w:val="left" w:pos="509"/>
        </w:tabs>
        <w:spacing w:line="360" w:lineRule="auto"/>
        <w:ind w:left="509" w:hanging="425"/>
        <w:contextualSpacing/>
        <w:rPr>
          <w:rFonts w:ascii="David" w:hAnsi="David"/>
          <w:rtl/>
        </w:rPr>
      </w:pPr>
      <w:r>
        <w:rPr>
          <w:rFonts w:ascii="David" w:hAnsi="David"/>
          <w:u w:val="single"/>
          <w:rtl/>
        </w:rPr>
        <w:t>הערך החברתי שנפגע מביצוע העבירה</w:t>
      </w:r>
      <w:r>
        <w:rPr>
          <w:rFonts w:ascii="David" w:hAnsi="David"/>
          <w:rtl/>
        </w:rPr>
        <w:t>:</w:t>
      </w:r>
    </w:p>
    <w:p w:rsidR="00707B7E" w:rsidRDefault="00707B7E" w:rsidP="00707B7E">
      <w:pPr>
        <w:tabs>
          <w:tab w:val="left" w:pos="509"/>
        </w:tabs>
        <w:spacing w:line="360" w:lineRule="auto"/>
        <w:ind w:left="502"/>
        <w:contextualSpacing/>
        <w:jc w:val="both"/>
        <w:rPr>
          <w:rFonts w:ascii="David" w:hAnsi="David"/>
          <w:rtl/>
        </w:rPr>
      </w:pPr>
    </w:p>
    <w:p w:rsidR="00707B7E" w:rsidRDefault="00707B7E" w:rsidP="00707B7E">
      <w:pPr>
        <w:numPr>
          <w:ilvl w:val="0"/>
          <w:numId w:val="3"/>
        </w:numPr>
        <w:tabs>
          <w:tab w:val="left" w:pos="509"/>
        </w:tabs>
        <w:spacing w:after="160" w:line="360" w:lineRule="auto"/>
        <w:contextualSpacing/>
        <w:jc w:val="both"/>
        <w:rPr>
          <w:rFonts w:ascii="David" w:hAnsi="David"/>
        </w:rPr>
      </w:pPr>
      <w:r>
        <w:rPr>
          <w:rFonts w:ascii="David" w:hAnsi="David"/>
          <w:rtl/>
        </w:rPr>
        <w:t xml:space="preserve">הערך החברתי שנפגע בעבירת הרצח הוא הערך של קדושת חיי האדם, שניצב בראש סולם הערכים החברתיים [ע"פ 1077/22 </w:t>
      </w:r>
      <w:r>
        <w:rPr>
          <w:rFonts w:ascii="David" w:hAnsi="David"/>
          <w:b/>
          <w:bCs/>
          <w:rtl/>
        </w:rPr>
        <w:t>קאדר נ' מדינת ישראל</w:t>
      </w:r>
      <w:r>
        <w:rPr>
          <w:rFonts w:ascii="David" w:hAnsi="David"/>
          <w:rtl/>
        </w:rPr>
        <w:t xml:space="preserve">, פסקה 16 (1.6.2022); ע"פ 3617/13 </w:t>
      </w:r>
      <w:r>
        <w:rPr>
          <w:rFonts w:ascii="David" w:hAnsi="David"/>
          <w:b/>
          <w:bCs/>
          <w:rtl/>
        </w:rPr>
        <w:t>טייטל נ' מדינת ישראל</w:t>
      </w:r>
      <w:r>
        <w:rPr>
          <w:rFonts w:ascii="David" w:hAnsi="David"/>
          <w:rtl/>
        </w:rPr>
        <w:t xml:space="preserve">, פסקה 66 (28.6.2016)]. מידת הפגיעה בערך של קדושת החיים היא ברף הגבוה ביותר, וזאת בשל כך שמותו של אדם הוא תוצאה בלתי הפיכה. </w:t>
      </w:r>
    </w:p>
    <w:p w:rsidR="00707B7E" w:rsidRDefault="00707B7E" w:rsidP="00707B7E">
      <w:pPr>
        <w:tabs>
          <w:tab w:val="left" w:pos="509"/>
        </w:tabs>
        <w:spacing w:line="360" w:lineRule="auto"/>
        <w:ind w:left="509"/>
        <w:contextualSpacing/>
        <w:jc w:val="both"/>
        <w:rPr>
          <w:rFonts w:ascii="David" w:hAnsi="David"/>
        </w:rPr>
      </w:pPr>
    </w:p>
    <w:p w:rsidR="00707B7E" w:rsidRDefault="00707B7E" w:rsidP="00707B7E">
      <w:pPr>
        <w:numPr>
          <w:ilvl w:val="0"/>
          <w:numId w:val="3"/>
        </w:numPr>
        <w:tabs>
          <w:tab w:val="left" w:pos="509"/>
        </w:tabs>
        <w:spacing w:after="160" w:line="360" w:lineRule="auto"/>
        <w:contextualSpacing/>
        <w:jc w:val="both"/>
        <w:rPr>
          <w:rFonts w:ascii="David" w:hAnsi="David"/>
        </w:rPr>
      </w:pPr>
      <w:bookmarkStart w:id="1" w:name="Text1"/>
      <w:bookmarkEnd w:id="1"/>
      <w:r>
        <w:rPr>
          <w:rFonts w:ascii="David" w:hAnsi="David"/>
          <w:rtl/>
        </w:rPr>
        <w:t>ב</w:t>
      </w:r>
      <w:r w:rsidR="00E5468B">
        <w:rPr>
          <w:rFonts w:ascii="David" w:hAnsi="David" w:hint="cs"/>
          <w:rtl/>
        </w:rPr>
        <w:t>-</w:t>
      </w:r>
      <w:hyperlink r:id="rId12" w:history="1">
        <w:r w:rsidRPr="009646EC">
          <w:rPr>
            <w:rFonts w:ascii="David" w:hAnsi="David"/>
            <w:rtl/>
          </w:rPr>
          <w:t xml:space="preserve">ע"פ </w:t>
        </w:r>
        <w:r w:rsidRPr="009646EC">
          <w:rPr>
            <w:rtl/>
          </w:rPr>
          <w:t>9422/11</w:t>
        </w:r>
      </w:hyperlink>
      <w:r>
        <w:rPr>
          <w:rFonts w:ascii="David" w:hAnsi="David"/>
        </w:rPr>
        <w:t> </w:t>
      </w:r>
      <w:r>
        <w:rPr>
          <w:rFonts w:ascii="David" w:hAnsi="David"/>
          <w:rtl/>
        </w:rPr>
        <w:t>‏</w:t>
      </w:r>
      <w:r>
        <w:rPr>
          <w:rFonts w:ascii="David" w:hAnsi="David"/>
          <w:b/>
          <w:bCs/>
          <w:rtl/>
        </w:rPr>
        <w:t>דהן נ' מדינת ישראל</w:t>
      </w:r>
      <w:r>
        <w:rPr>
          <w:rFonts w:ascii="David" w:hAnsi="David"/>
          <w:rtl/>
        </w:rPr>
        <w:t xml:space="preserve"> (3.7.2013) (להלן: "</w:t>
      </w:r>
      <w:r>
        <w:rPr>
          <w:rFonts w:ascii="David" w:hAnsi="David"/>
          <w:b/>
          <w:bCs/>
          <w:rtl/>
        </w:rPr>
        <w:t>עניין דהן</w:t>
      </w:r>
      <w:r>
        <w:rPr>
          <w:rFonts w:ascii="David" w:hAnsi="David"/>
          <w:rtl/>
        </w:rPr>
        <w:t xml:space="preserve">") הורשע המערער בדקירת המנוח בחזהו על רקע </w:t>
      </w:r>
      <w:r>
        <w:rPr>
          <w:rFonts w:ascii="David" w:hAnsi="David"/>
          <w:u w:val="single"/>
          <w:rtl/>
        </w:rPr>
        <w:t>ויכוח סתמי</w:t>
      </w:r>
      <w:r>
        <w:rPr>
          <w:rFonts w:ascii="David" w:hAnsi="David"/>
          <w:rtl/>
        </w:rPr>
        <w:t>: לאחר שחברו של המערער ביקש מהמנוח סיגריה והמנוח סירב והשיב בקללה. וכך נפסק:</w:t>
      </w:r>
    </w:p>
    <w:p w:rsidR="00707B7E" w:rsidRDefault="00707B7E" w:rsidP="00707B7E">
      <w:pPr>
        <w:tabs>
          <w:tab w:val="left" w:pos="509"/>
        </w:tabs>
        <w:spacing w:line="360" w:lineRule="auto"/>
        <w:ind w:left="509"/>
        <w:contextualSpacing/>
        <w:jc w:val="both"/>
        <w:rPr>
          <w:rFonts w:ascii="David" w:hAnsi="David"/>
        </w:rPr>
      </w:pPr>
    </w:p>
    <w:p w:rsidR="00707B7E" w:rsidRDefault="00707B7E" w:rsidP="00707B7E">
      <w:pPr>
        <w:tabs>
          <w:tab w:val="left" w:pos="509"/>
        </w:tabs>
        <w:spacing w:line="360" w:lineRule="auto"/>
        <w:ind w:left="509"/>
        <w:contextualSpacing/>
        <w:jc w:val="both"/>
        <w:rPr>
          <w:rFonts w:ascii="David" w:hAnsi="David"/>
        </w:rPr>
      </w:pPr>
      <w:r>
        <w:rPr>
          <w:rFonts w:ascii="David" w:hAnsi="David"/>
        </w:rPr>
        <w:t>"</w:t>
      </w:r>
      <w:r>
        <w:rPr>
          <w:rFonts w:ascii="David" w:hAnsi="David"/>
          <w:b/>
          <w:bCs/>
          <w:rtl/>
        </w:rPr>
        <w:t xml:space="preserve">דומה, כי כבר נאמר כל שניתן על הקלות הבלתי נתפסת בה נגדעים בארצנו חיי אדם, ולא נותר אלא לחזור על הדברים. חילופי דברים וסכסוכים של מה בכך מובילים במקרים רבים מדי ובמהירות גדולה מדי לשליפת כלי נשק, קר או חם, או לנקיטה במעשי אלימות קטלנים. יתרה מכך, לעיתים נדמה שחל פיחות בלתי נסלח ובלתי נסבל בערכם של חיי אדם. בראש ובראשונה עלינו לשוות לנגד עיננו את המנוח שחייו קופדו בנסיבות שאין להשלים עימן, ולהגנה על ערך החיים וקדושתם שמור משקל משמעותי ביותר במלאכת הענישה" </w:t>
      </w:r>
      <w:r>
        <w:rPr>
          <w:rFonts w:ascii="David" w:hAnsi="David"/>
          <w:rtl/>
        </w:rPr>
        <w:t xml:space="preserve">[שם, בפסקה 8; ר' גם: ע"פ 3545/18 </w:t>
      </w:r>
      <w:r>
        <w:rPr>
          <w:rFonts w:ascii="David" w:hAnsi="David"/>
          <w:b/>
          <w:bCs/>
          <w:rtl/>
        </w:rPr>
        <w:t>קיקס</w:t>
      </w:r>
      <w:r>
        <w:rPr>
          <w:rFonts w:ascii="David" w:hAnsi="David"/>
          <w:rtl/>
        </w:rPr>
        <w:t xml:space="preserve"> </w:t>
      </w:r>
      <w:r>
        <w:rPr>
          <w:rFonts w:ascii="David" w:hAnsi="David"/>
          <w:b/>
          <w:bCs/>
          <w:rtl/>
        </w:rPr>
        <w:t>נ' מדינת ישראל</w:t>
      </w:r>
      <w:r>
        <w:rPr>
          <w:rFonts w:ascii="David" w:hAnsi="David"/>
          <w:rtl/>
        </w:rPr>
        <w:t>, פסקה 5 (24.2.2019); ו-</w:t>
      </w:r>
      <w:hyperlink r:id="rId13" w:history="1">
        <w:r w:rsidRPr="009646EC">
          <w:rPr>
            <w:rtl/>
          </w:rPr>
          <w:t>ע"פ 2888/15</w:t>
        </w:r>
      </w:hyperlink>
      <w:r>
        <w:rPr>
          <w:rFonts w:ascii="David" w:hAnsi="David"/>
        </w:rPr>
        <w:t> </w:t>
      </w:r>
      <w:r>
        <w:rPr>
          <w:rFonts w:ascii="David" w:hAnsi="David"/>
          <w:b/>
          <w:bCs/>
          <w:rtl/>
        </w:rPr>
        <w:t>ח'דיירי נ' מדינת ישראל</w:t>
      </w:r>
      <w:r>
        <w:rPr>
          <w:rFonts w:ascii="David" w:hAnsi="David"/>
          <w:rtl/>
        </w:rPr>
        <w:t>, פסקה 16 (28.12.2016)].</w:t>
      </w:r>
    </w:p>
    <w:p w:rsidR="00707B7E" w:rsidRDefault="00707B7E" w:rsidP="00707B7E">
      <w:pPr>
        <w:tabs>
          <w:tab w:val="left" w:pos="509"/>
        </w:tabs>
        <w:spacing w:line="360" w:lineRule="auto"/>
        <w:ind w:left="509"/>
        <w:contextualSpacing/>
        <w:jc w:val="both"/>
        <w:rPr>
          <w:rFonts w:ascii="David" w:hAnsi="David"/>
          <w:rtl/>
        </w:rPr>
      </w:pPr>
    </w:p>
    <w:p w:rsidR="00707B7E" w:rsidRDefault="00707B7E" w:rsidP="00707B7E">
      <w:pPr>
        <w:numPr>
          <w:ilvl w:val="0"/>
          <w:numId w:val="3"/>
        </w:numPr>
        <w:tabs>
          <w:tab w:val="left" w:pos="509"/>
        </w:tabs>
        <w:spacing w:after="160" w:line="360" w:lineRule="auto"/>
        <w:contextualSpacing/>
        <w:jc w:val="both"/>
        <w:rPr>
          <w:rFonts w:ascii="David" w:hAnsi="David"/>
          <w:rtl/>
        </w:rPr>
      </w:pPr>
      <w:r>
        <w:rPr>
          <w:rFonts w:ascii="David" w:hAnsi="David"/>
          <w:rtl/>
        </w:rPr>
        <w:t>כידוע, עובר לתיקון מס' 137 לחוק העונשין (להלן: "</w:t>
      </w:r>
      <w:r>
        <w:rPr>
          <w:rFonts w:ascii="David" w:hAnsi="David"/>
          <w:b/>
          <w:bCs/>
          <w:rtl/>
        </w:rPr>
        <w:t>התיקון</w:t>
      </w:r>
      <w:r>
        <w:rPr>
          <w:rFonts w:ascii="David" w:hAnsi="David"/>
          <w:rtl/>
        </w:rPr>
        <w:t>" או "</w:t>
      </w:r>
      <w:r>
        <w:rPr>
          <w:rFonts w:ascii="David" w:hAnsi="David"/>
          <w:b/>
          <w:bCs/>
          <w:rtl/>
        </w:rPr>
        <w:t>הרפורמה בעבירות המתה</w:t>
      </w:r>
      <w:r>
        <w:rPr>
          <w:rFonts w:ascii="David" w:hAnsi="David"/>
          <w:rtl/>
        </w:rPr>
        <w:t xml:space="preserve">"), הנאשם האדיש כלפי אפשרות גרימה המוות היה מורשע בעבירת ההריגה, ואילו לאחר התיקון, אדישות (דהיינו: שוויון נפש לאפשרות גרימת התוצאה) מובילה להרשעה ברצח. </w:t>
      </w:r>
    </w:p>
    <w:p w:rsidR="00707B7E" w:rsidRDefault="00707B7E" w:rsidP="00707B7E">
      <w:pPr>
        <w:tabs>
          <w:tab w:val="left" w:pos="509"/>
        </w:tabs>
        <w:spacing w:line="360" w:lineRule="auto"/>
        <w:ind w:left="509" w:hanging="425"/>
        <w:contextualSpacing/>
        <w:jc w:val="both"/>
        <w:rPr>
          <w:rFonts w:ascii="David" w:hAnsi="David"/>
        </w:rPr>
      </w:pPr>
    </w:p>
    <w:p w:rsidR="00707B7E" w:rsidRDefault="00707B7E" w:rsidP="00707B7E">
      <w:pPr>
        <w:tabs>
          <w:tab w:val="left" w:pos="509"/>
        </w:tabs>
        <w:spacing w:line="360" w:lineRule="auto"/>
        <w:ind w:left="509" w:hanging="425"/>
        <w:contextualSpacing/>
        <w:jc w:val="both"/>
        <w:rPr>
          <w:rFonts w:ascii="David" w:hAnsi="David"/>
          <w:rtl/>
        </w:rPr>
      </w:pPr>
      <w:r>
        <w:rPr>
          <w:rFonts w:ascii="David" w:hAnsi="David"/>
          <w:rtl/>
        </w:rPr>
        <w:tab/>
      </w:r>
      <w:r>
        <w:rPr>
          <w:rFonts w:ascii="David" w:hAnsi="David"/>
          <w:u w:val="single"/>
          <w:rtl/>
        </w:rPr>
        <w:t>עבירת הרצח הבסיסית</w:t>
      </w:r>
      <w:r>
        <w:rPr>
          <w:rFonts w:ascii="David" w:hAnsi="David"/>
          <w:rtl/>
        </w:rPr>
        <w:t xml:space="preserve">: </w:t>
      </w:r>
      <w:hyperlink r:id="rId14" w:history="1">
        <w:r w:rsidRPr="009646EC">
          <w:rPr>
            <w:rtl/>
          </w:rPr>
          <w:t>סעיף 300(א)</w:t>
        </w:r>
      </w:hyperlink>
      <w:r>
        <w:rPr>
          <w:rFonts w:ascii="David" w:hAnsi="David"/>
          <w:rtl/>
        </w:rPr>
        <w:t xml:space="preserve"> </w:t>
      </w:r>
      <w:r>
        <w:rPr>
          <w:rFonts w:ascii="David" w:hAnsi="David" w:hint="cs"/>
          <w:rtl/>
        </w:rPr>
        <w:t>ל</w:t>
      </w:r>
      <w:hyperlink r:id="rId15" w:history="1">
        <w:r w:rsidRPr="009646EC">
          <w:rPr>
            <w:rtl/>
          </w:rPr>
          <w:t>חוק העונשין</w:t>
        </w:r>
      </w:hyperlink>
      <w:r>
        <w:rPr>
          <w:rFonts w:ascii="David" w:hAnsi="David"/>
          <w:rtl/>
        </w:rPr>
        <w:t xml:space="preserve"> </w:t>
      </w:r>
      <w:r>
        <w:rPr>
          <w:rFonts w:ascii="David" w:hAnsi="David" w:hint="cs"/>
          <w:rtl/>
        </w:rPr>
        <w:t>קובע ש"</w:t>
      </w:r>
      <w:r>
        <w:rPr>
          <w:rFonts w:ascii="David" w:hAnsi="David" w:hint="cs"/>
          <w:b/>
          <w:bCs/>
          <w:rtl/>
        </w:rPr>
        <w:t>הגורם בכוונה או באדישות למותו של אדם, דינו – מאסר עולם</w:t>
      </w:r>
      <w:r>
        <w:rPr>
          <w:rFonts w:ascii="David" w:hAnsi="David" w:hint="cs"/>
          <w:rtl/>
        </w:rPr>
        <w:t>". לפיכך, עבירת הרצח כוללת קשת רחבה של מקרים: הן את המקרים הבאים בגדר עבירת הרצח, כפי שהייתה לפני התיקון, שבה היסוד הנפשי הוא "כוונה"; והן את המקרים של המתה באדישות, שעובר לתיקון באו בגדר עבירת ההריגה, ולאחריו באים בגדר עבירת הרצח.</w:t>
      </w:r>
    </w:p>
    <w:p w:rsidR="00707B7E" w:rsidRDefault="00707B7E" w:rsidP="00707B7E">
      <w:pPr>
        <w:tabs>
          <w:tab w:val="left" w:pos="509"/>
        </w:tabs>
        <w:spacing w:line="360" w:lineRule="auto"/>
        <w:ind w:left="509" w:hanging="425"/>
        <w:contextualSpacing/>
        <w:jc w:val="both"/>
        <w:rPr>
          <w:rFonts w:ascii="David" w:hAnsi="David"/>
          <w:rtl/>
        </w:rPr>
      </w:pPr>
    </w:p>
    <w:p w:rsidR="00707B7E" w:rsidRDefault="00707B7E" w:rsidP="00707B7E">
      <w:pPr>
        <w:numPr>
          <w:ilvl w:val="0"/>
          <w:numId w:val="3"/>
        </w:numPr>
        <w:tabs>
          <w:tab w:val="left" w:pos="509"/>
        </w:tabs>
        <w:spacing w:after="160" w:line="360" w:lineRule="auto"/>
        <w:contextualSpacing/>
        <w:jc w:val="both"/>
        <w:rPr>
          <w:rFonts w:ascii="David" w:hAnsi="David"/>
        </w:rPr>
      </w:pPr>
      <w:r>
        <w:rPr>
          <w:rFonts w:ascii="David" w:hAnsi="David"/>
          <w:rtl/>
        </w:rPr>
        <w:t xml:space="preserve">התיקון מלמד על שינוי תפיסתי ביחס לרצח באדישות, כפי שהוטעם ב-ע"פ 5806/22 </w:t>
      </w:r>
      <w:r>
        <w:rPr>
          <w:rFonts w:ascii="David" w:hAnsi="David"/>
          <w:b/>
          <w:bCs/>
          <w:rtl/>
        </w:rPr>
        <w:t>מדינת ישראל נ' גריפאת</w:t>
      </w:r>
      <w:r>
        <w:rPr>
          <w:rFonts w:ascii="David" w:hAnsi="David"/>
          <w:rtl/>
        </w:rPr>
        <w:t>, פסקה 15 (20.11.2022) (להלן: "</w:t>
      </w:r>
      <w:r>
        <w:rPr>
          <w:rFonts w:ascii="David" w:hAnsi="David"/>
          <w:b/>
          <w:bCs/>
          <w:rtl/>
        </w:rPr>
        <w:t>עניין גריפאת</w:t>
      </w:r>
      <w:r>
        <w:rPr>
          <w:rFonts w:ascii="David" w:hAnsi="David"/>
          <w:rtl/>
        </w:rPr>
        <w:t>"): "</w:t>
      </w:r>
      <w:r>
        <w:rPr>
          <w:rFonts w:ascii="David" w:hAnsi="David"/>
          <w:b/>
          <w:bCs/>
          <w:rtl/>
        </w:rPr>
        <w:t>עבור האדיש, היעדר העדפה לגבי התרחשות התוצאה מבטאת בחירה מלאה מצדו לפגיעה אפשרית בערך המוגן. משכך, היחס השלילי והמזלזל של האדיש כלפי ערך חיי אדם – והאשמה הנודעת למעשיו בגין יחס זה, קרובים יותר למתכוון המייחל להגשמת התוצאה ופועל להוציאה לפועל, מאשר לקל הדעת המקווה שזו לא תתרחש</w:t>
      </w:r>
      <w:r>
        <w:rPr>
          <w:rFonts w:ascii="David" w:hAnsi="David"/>
          <w:rtl/>
        </w:rPr>
        <w:t xml:space="preserve">" [ר' גם ע"פ 1464/21 </w:t>
      </w:r>
      <w:r>
        <w:rPr>
          <w:rFonts w:ascii="David" w:hAnsi="David"/>
          <w:b/>
          <w:bCs/>
          <w:rtl/>
        </w:rPr>
        <w:t>קפוסטין נ' מדינת ישראל</w:t>
      </w:r>
      <w:r>
        <w:rPr>
          <w:rFonts w:ascii="David" w:hAnsi="David"/>
          <w:rtl/>
        </w:rPr>
        <w:t>, פסקה 45 (11.9.2022) (להלן: "</w:t>
      </w:r>
      <w:r>
        <w:rPr>
          <w:rFonts w:ascii="David" w:hAnsi="David"/>
          <w:b/>
          <w:bCs/>
          <w:rtl/>
        </w:rPr>
        <w:t>עניין</w:t>
      </w:r>
      <w:r>
        <w:rPr>
          <w:rFonts w:ascii="David" w:hAnsi="David"/>
          <w:rtl/>
        </w:rPr>
        <w:t xml:space="preserve"> </w:t>
      </w:r>
      <w:r>
        <w:rPr>
          <w:rFonts w:ascii="David" w:hAnsi="David"/>
          <w:b/>
          <w:bCs/>
          <w:rtl/>
        </w:rPr>
        <w:t>קפוסטין</w:t>
      </w:r>
      <w:r>
        <w:rPr>
          <w:rFonts w:ascii="David" w:hAnsi="David"/>
          <w:rtl/>
        </w:rPr>
        <w:t>")].</w:t>
      </w:r>
    </w:p>
    <w:p w:rsidR="00707B7E" w:rsidRDefault="00707B7E" w:rsidP="00707B7E">
      <w:pPr>
        <w:tabs>
          <w:tab w:val="left" w:pos="509"/>
        </w:tabs>
        <w:spacing w:line="360" w:lineRule="auto"/>
        <w:ind w:left="509" w:hanging="425"/>
        <w:contextualSpacing/>
        <w:jc w:val="both"/>
        <w:rPr>
          <w:rFonts w:ascii="David" w:hAnsi="David"/>
          <w:rtl/>
        </w:rPr>
      </w:pPr>
    </w:p>
    <w:p w:rsidR="00707B7E" w:rsidRDefault="00707B7E" w:rsidP="00707B7E">
      <w:pPr>
        <w:tabs>
          <w:tab w:val="left" w:pos="509"/>
        </w:tabs>
        <w:spacing w:line="360" w:lineRule="auto"/>
        <w:ind w:left="509" w:hanging="425"/>
        <w:contextualSpacing/>
        <w:jc w:val="both"/>
        <w:rPr>
          <w:rFonts w:ascii="David" w:hAnsi="David"/>
          <w:rtl/>
        </w:rPr>
      </w:pPr>
      <w:r>
        <w:rPr>
          <w:rFonts w:ascii="David" w:hAnsi="David"/>
          <w:rtl/>
        </w:rPr>
        <w:tab/>
        <w:t xml:space="preserve">ב-ע"פ 6063/21 </w:t>
      </w:r>
      <w:r>
        <w:rPr>
          <w:rFonts w:ascii="David" w:hAnsi="David"/>
          <w:b/>
          <w:bCs/>
          <w:rtl/>
        </w:rPr>
        <w:t>מדינת ישראל נ' יאסין</w:t>
      </w:r>
      <w:r>
        <w:rPr>
          <w:rFonts w:ascii="David" w:hAnsi="David"/>
          <w:rtl/>
        </w:rPr>
        <w:t>, פסקה 41 (26.3.2024) (להלן: "</w:t>
      </w:r>
      <w:r>
        <w:rPr>
          <w:rFonts w:ascii="David" w:hAnsi="David"/>
          <w:b/>
          <w:bCs/>
          <w:rtl/>
        </w:rPr>
        <w:t>עניין יאסין</w:t>
      </w:r>
      <w:r>
        <w:rPr>
          <w:rFonts w:ascii="David" w:hAnsi="David"/>
          <w:rtl/>
        </w:rPr>
        <w:t>") אשר ניתן לאחרונה, התייחס בית המשפט העליון לאופן שבו השינוי התפיסתי ביחס להמתה באדישות מתבטא בתיקון: "</w:t>
      </w:r>
      <w:r>
        <w:rPr>
          <w:rFonts w:ascii="David" w:hAnsi="David"/>
          <w:b/>
          <w:bCs/>
          <w:rtl/>
        </w:rPr>
        <w:t>ניתן אפוא לראות ברפורמה בעבירות ההמתה גילוי דעת מובהק של המחוקק בדבר החמרה מהותית, ערכית ועונשית במקרה של רצח באדישות. כך במספר מובנים – בתיוגו של הממית באדישות כ'רוצח' על כל המשתמע מכך; ב'אות הקין' שיישא בעקבות מעשיו; ובקביעת מאסר עולם כעונש המרבי במקרה של המתה באדישות</w:t>
      </w:r>
      <w:r>
        <w:rPr>
          <w:rFonts w:ascii="David" w:hAnsi="David"/>
          <w:rtl/>
        </w:rPr>
        <w:t>" [לעומת העונש המרבי שהיה קבוע לצד עבירת ההריגה, שבגדרה נכנס מעשה של המתה באדישות עובר לתיקון – 20 שנות מאסר].</w:t>
      </w:r>
    </w:p>
    <w:p w:rsidR="00707B7E" w:rsidRDefault="00707B7E" w:rsidP="00707B7E">
      <w:pPr>
        <w:tabs>
          <w:tab w:val="left" w:pos="509"/>
        </w:tabs>
        <w:spacing w:line="360" w:lineRule="auto"/>
        <w:ind w:left="509" w:hanging="425"/>
        <w:contextualSpacing/>
        <w:jc w:val="both"/>
        <w:rPr>
          <w:rFonts w:ascii="David" w:hAnsi="David"/>
        </w:rPr>
      </w:pPr>
    </w:p>
    <w:p w:rsidR="00707B7E" w:rsidRDefault="00707B7E" w:rsidP="00707B7E">
      <w:pPr>
        <w:numPr>
          <w:ilvl w:val="0"/>
          <w:numId w:val="3"/>
        </w:numPr>
        <w:tabs>
          <w:tab w:val="left" w:pos="509"/>
        </w:tabs>
        <w:spacing w:after="160" w:line="360" w:lineRule="auto"/>
        <w:contextualSpacing/>
        <w:jc w:val="both"/>
        <w:rPr>
          <w:rFonts w:ascii="David" w:hAnsi="David"/>
          <w:rtl/>
        </w:rPr>
      </w:pPr>
      <w:r>
        <w:rPr>
          <w:rFonts w:ascii="David" w:hAnsi="David"/>
          <w:rtl/>
        </w:rPr>
        <w:t xml:space="preserve">כפועל יוצא מהשינוי התפיסתי-רעיוני של החמרה ביחס להמתה באדישות, חלה בפסיקת בית המשפט העליון, אשר תפורט להלן בהרחבה, </w:t>
      </w:r>
      <w:r>
        <w:rPr>
          <w:rFonts w:ascii="David" w:hAnsi="David"/>
          <w:u w:val="single"/>
          <w:rtl/>
        </w:rPr>
        <w:t>מגמה ברורה של החמרה בענישה ביחס להמתה באדישות</w:t>
      </w:r>
      <w:r>
        <w:rPr>
          <w:rFonts w:ascii="David" w:hAnsi="David"/>
          <w:rtl/>
        </w:rPr>
        <w:t xml:space="preserve">, כפי שצוין בעניין </w:t>
      </w:r>
      <w:r>
        <w:rPr>
          <w:rFonts w:ascii="David" w:hAnsi="David"/>
          <w:b/>
          <w:bCs/>
          <w:rtl/>
        </w:rPr>
        <w:t>חוג'יראת</w:t>
      </w:r>
      <w:r>
        <w:rPr>
          <w:rFonts w:ascii="David" w:hAnsi="David"/>
          <w:rtl/>
        </w:rPr>
        <w:t>: "</w:t>
      </w:r>
      <w:r>
        <w:rPr>
          <w:rFonts w:ascii="David" w:hAnsi="David"/>
          <w:b/>
          <w:bCs/>
          <w:rtl/>
        </w:rPr>
        <w:t>במרוצת הזמן, הלכה והתעצבה ממקרה למקרה מדיניות הענישה הרצויה והנוהגת בעבירת רצח באדישות... בפסקי הדין אשר ניתנו בבית משפט זה, הוסכם פה אחד, פעם אחר פעם, על כלל שופטי ההרכבים השונים, כי הרפורמה בעבירות ההמתה מכתיבה החמרה ערכית-נורמטיבית ועונשית ביחס למעשי המתה באדישות</w:t>
      </w:r>
      <w:r>
        <w:rPr>
          <w:rFonts w:ascii="David" w:hAnsi="David"/>
          <w:rtl/>
        </w:rPr>
        <w:t>".</w:t>
      </w:r>
    </w:p>
    <w:p w:rsidR="00707B7E" w:rsidRDefault="00707B7E" w:rsidP="00707B7E">
      <w:pPr>
        <w:tabs>
          <w:tab w:val="left" w:pos="509"/>
        </w:tabs>
        <w:spacing w:line="360" w:lineRule="auto"/>
        <w:ind w:left="509"/>
        <w:contextualSpacing/>
        <w:jc w:val="both"/>
        <w:rPr>
          <w:rFonts w:ascii="David" w:hAnsi="David"/>
        </w:rPr>
      </w:pPr>
    </w:p>
    <w:p w:rsidR="00707B7E" w:rsidRDefault="00707B7E" w:rsidP="00707B7E">
      <w:pPr>
        <w:tabs>
          <w:tab w:val="left" w:pos="509"/>
        </w:tabs>
        <w:spacing w:line="360" w:lineRule="auto"/>
        <w:ind w:left="509"/>
        <w:contextualSpacing/>
        <w:jc w:val="both"/>
        <w:rPr>
          <w:rFonts w:ascii="David" w:hAnsi="David"/>
          <w:rtl/>
        </w:rPr>
      </w:pPr>
      <w:r>
        <w:rPr>
          <w:rFonts w:ascii="David" w:hAnsi="David"/>
          <w:rtl/>
        </w:rPr>
        <w:t xml:space="preserve">עמד על כך כב' השופט אלרון לאחרונה, בעניין </w:t>
      </w:r>
      <w:r>
        <w:rPr>
          <w:rFonts w:ascii="David" w:hAnsi="David"/>
          <w:b/>
          <w:bCs/>
          <w:rtl/>
        </w:rPr>
        <w:t xml:space="preserve">יאסין, </w:t>
      </w:r>
      <w:r>
        <w:rPr>
          <w:rFonts w:ascii="David" w:hAnsi="David"/>
          <w:rtl/>
        </w:rPr>
        <w:t>פסקה 62: "</w:t>
      </w:r>
      <w:r>
        <w:rPr>
          <w:rFonts w:ascii="David" w:hAnsi="David"/>
          <w:b/>
          <w:bCs/>
          <w:rtl/>
        </w:rPr>
        <w:t>הרפורמה בעבירות ההמתה מחייבת החמרה בענישה בעבירות של המתה ביסוד נפשי של אדישות, אשר כעת מהווה רצח. אחרת, במקום שנבטא את העמדה הרצויה והראויה, שלפיה המתה באדישות היא רצח, נשמר את ההבחנה אשר הייתה קיימת עובר לרפורמה ואשר אותה ביקש המחוקק לשנות. בהתאם, במספר משמעותי של מקרים קיבל בית משפט זה ערעורים של המדינה על קולת העונש והורה על החמרת עונשם של מי שהורשעו בעבירות רצח באדישות</w:t>
      </w:r>
      <w:r>
        <w:rPr>
          <w:rFonts w:ascii="David" w:hAnsi="David"/>
          <w:rtl/>
        </w:rPr>
        <w:t>".</w:t>
      </w:r>
    </w:p>
    <w:p w:rsidR="00707B7E" w:rsidRDefault="00707B7E" w:rsidP="00707B7E">
      <w:pPr>
        <w:tabs>
          <w:tab w:val="left" w:pos="509"/>
        </w:tabs>
        <w:spacing w:line="360" w:lineRule="auto"/>
        <w:ind w:left="509" w:hanging="425"/>
        <w:contextualSpacing/>
        <w:jc w:val="both"/>
        <w:rPr>
          <w:rFonts w:ascii="David" w:hAnsi="David"/>
          <w:rtl/>
        </w:rPr>
      </w:pPr>
    </w:p>
    <w:p w:rsidR="00707B7E" w:rsidRDefault="00707B7E" w:rsidP="00707B7E">
      <w:pPr>
        <w:tabs>
          <w:tab w:val="left" w:pos="509"/>
        </w:tabs>
        <w:spacing w:line="360" w:lineRule="auto"/>
        <w:ind w:left="509" w:hanging="425"/>
        <w:contextualSpacing/>
        <w:jc w:val="both"/>
        <w:rPr>
          <w:rFonts w:ascii="David" w:hAnsi="David"/>
          <w:rtl/>
        </w:rPr>
      </w:pPr>
      <w:r>
        <w:rPr>
          <w:rFonts w:ascii="David" w:hAnsi="David"/>
          <w:rtl/>
        </w:rPr>
        <w:lastRenderedPageBreak/>
        <w:tab/>
        <w:t>עם זאת, בפסקי הדין שבהם החמיר בית המשפט העליון את עונשם של מי שהורשעו ברצח באדישות, צוין כי העונש הוחמר באופן מדוד, בהתחשב בכך שהתיקון נכנס לתוקף אך בשנת 2019 ובהלכה שלפיה ערכאת הערעור אינה ממצה את חומרת הדין. בית המשפט העליון הבהיר כי אלמלא כן היה נגזר עונש חמור יותר [ע"פ 4137/22 </w:t>
      </w:r>
      <w:r>
        <w:rPr>
          <w:rFonts w:ascii="David" w:hAnsi="David"/>
          <w:b/>
          <w:bCs/>
          <w:rtl/>
        </w:rPr>
        <w:t>אנאנטאפאק נ' מדינת ישראל</w:t>
      </w:r>
      <w:r>
        <w:rPr>
          <w:rFonts w:ascii="David" w:hAnsi="David"/>
          <w:rtl/>
        </w:rPr>
        <w:t>, פסקה 9 (2.7.2023) (להלן: "</w:t>
      </w:r>
      <w:r>
        <w:rPr>
          <w:rFonts w:ascii="David" w:hAnsi="David"/>
          <w:b/>
          <w:bCs/>
          <w:rtl/>
        </w:rPr>
        <w:t>עניין אנאנטאפאק"</w:t>
      </w:r>
      <w:r>
        <w:rPr>
          <w:rFonts w:ascii="David" w:hAnsi="David"/>
          <w:rtl/>
        </w:rPr>
        <w:t>); כן ר' פירוט הפסיקה להלן].</w:t>
      </w:r>
    </w:p>
    <w:p w:rsidR="00707B7E" w:rsidRDefault="00707B7E" w:rsidP="00707B7E">
      <w:pPr>
        <w:tabs>
          <w:tab w:val="left" w:pos="509"/>
        </w:tabs>
        <w:spacing w:line="360" w:lineRule="auto"/>
        <w:ind w:left="509" w:hanging="425"/>
        <w:contextualSpacing/>
        <w:jc w:val="both"/>
        <w:rPr>
          <w:rFonts w:ascii="David" w:hAnsi="David"/>
          <w:rtl/>
        </w:rPr>
      </w:pPr>
    </w:p>
    <w:p w:rsidR="00707B7E" w:rsidRDefault="00707B7E" w:rsidP="00707B7E">
      <w:pPr>
        <w:numPr>
          <w:ilvl w:val="0"/>
          <w:numId w:val="3"/>
        </w:numPr>
        <w:tabs>
          <w:tab w:val="left" w:pos="509"/>
        </w:tabs>
        <w:spacing w:after="160" w:line="360" w:lineRule="auto"/>
        <w:contextualSpacing/>
        <w:jc w:val="both"/>
        <w:rPr>
          <w:rFonts w:ascii="David" w:hAnsi="David"/>
          <w:rtl/>
        </w:rPr>
      </w:pPr>
      <w:r>
        <w:rPr>
          <w:rFonts w:ascii="David" w:hAnsi="David"/>
          <w:rtl/>
        </w:rPr>
        <w:t xml:space="preserve">מגמה נוספת בפסיקה: קביעה של </w:t>
      </w:r>
      <w:r>
        <w:rPr>
          <w:rFonts w:ascii="David" w:hAnsi="David"/>
          <w:u w:val="single"/>
          <w:rtl/>
        </w:rPr>
        <w:t>מתחם עונש מצומצם</w:t>
      </w:r>
      <w:r>
        <w:rPr>
          <w:rFonts w:ascii="David" w:hAnsi="David"/>
          <w:rtl/>
        </w:rPr>
        <w:t xml:space="preserve"> בקשר לעבירת הרצח, ובכלל זה עבירה של רצח באדישות. </w:t>
      </w:r>
    </w:p>
    <w:p w:rsidR="00707B7E" w:rsidRDefault="00707B7E" w:rsidP="00707B7E">
      <w:pPr>
        <w:tabs>
          <w:tab w:val="left" w:pos="509"/>
        </w:tabs>
        <w:spacing w:line="360" w:lineRule="auto"/>
        <w:ind w:left="509" w:hanging="425"/>
        <w:contextualSpacing/>
        <w:jc w:val="both"/>
        <w:rPr>
          <w:rFonts w:ascii="David" w:hAnsi="David"/>
          <w:rtl/>
        </w:rPr>
      </w:pPr>
    </w:p>
    <w:p w:rsidR="00707B7E" w:rsidRDefault="00707B7E" w:rsidP="00707B7E">
      <w:pPr>
        <w:tabs>
          <w:tab w:val="left" w:pos="509"/>
        </w:tabs>
        <w:spacing w:line="360" w:lineRule="auto"/>
        <w:ind w:left="509"/>
        <w:contextualSpacing/>
        <w:jc w:val="both"/>
        <w:rPr>
          <w:rFonts w:ascii="David" w:hAnsi="David"/>
          <w:rtl/>
        </w:rPr>
      </w:pPr>
      <w:r>
        <w:rPr>
          <w:rFonts w:ascii="David" w:hAnsi="David"/>
          <w:rtl/>
        </w:rPr>
        <w:t xml:space="preserve">ר', למשל, דבריו של כב' השופט י' אלרון בעניין </w:t>
      </w:r>
      <w:r>
        <w:rPr>
          <w:rFonts w:ascii="David" w:hAnsi="David"/>
          <w:b/>
          <w:bCs/>
          <w:rtl/>
        </w:rPr>
        <w:t>גריפאת</w:t>
      </w:r>
      <w:r>
        <w:rPr>
          <w:rFonts w:ascii="David" w:hAnsi="David"/>
          <w:rtl/>
        </w:rPr>
        <w:t xml:space="preserve">, בפסקה 19: </w:t>
      </w:r>
    </w:p>
    <w:p w:rsidR="00707B7E" w:rsidRDefault="00707B7E" w:rsidP="00707B7E">
      <w:pPr>
        <w:tabs>
          <w:tab w:val="left" w:pos="509"/>
        </w:tabs>
        <w:spacing w:line="360" w:lineRule="auto"/>
        <w:ind w:left="509"/>
        <w:contextualSpacing/>
        <w:jc w:val="both"/>
        <w:rPr>
          <w:rFonts w:ascii="David" w:hAnsi="David"/>
          <w:rtl/>
        </w:rPr>
      </w:pPr>
      <w:r>
        <w:rPr>
          <w:rFonts w:ascii="David" w:hAnsi="David"/>
          <w:rtl/>
        </w:rPr>
        <w:t>"</w:t>
      </w:r>
      <w:r>
        <w:rPr>
          <w:rFonts w:ascii="David" w:hAnsi="David"/>
          <w:b/>
          <w:bCs/>
          <w:rtl/>
        </w:rPr>
        <w:t>ראוי לקבוע מתחם עונש הולם מצומצם בעבירות הרצח אשר</w:t>
      </w:r>
      <w:r>
        <w:rPr>
          <w:rFonts w:ascii="David" w:hAnsi="David"/>
          <w:b/>
          <w:bCs/>
        </w:rPr>
        <w:t xml:space="preserve"> </w:t>
      </w:r>
      <w:r>
        <w:rPr>
          <w:rFonts w:ascii="David" w:hAnsi="David"/>
          <w:b/>
          <w:bCs/>
          <w:rtl/>
        </w:rPr>
        <w:t>'ידגיש את מרכזיות עיקרון ההלימה ויצמצם את השפעתן של נסיבות שאינן קשורות בביצוע העבירה, באופן העולה בקנה אחד עם הרפורמה להבניית שיקול הדעת בענישה, עם הרפורמה בעבירות ההמתה ועם עקרון קדושת חיי האדם'</w:t>
      </w:r>
      <w:r>
        <w:rPr>
          <w:rFonts w:ascii="David" w:hAnsi="David"/>
          <w:rtl/>
        </w:rPr>
        <w:t xml:space="preserve"> </w:t>
      </w:r>
      <w:hyperlink r:id="rId16" w:history="1">
        <w:r w:rsidRPr="005E4F58">
          <w:rPr>
            <w:rtl/>
          </w:rPr>
          <w:t>(ע"פ 1077/22</w:t>
        </w:r>
      </w:hyperlink>
      <w:r>
        <w:rPr>
          <w:rFonts w:ascii="David" w:hAnsi="David"/>
        </w:rPr>
        <w:t> </w:t>
      </w:r>
      <w:r>
        <w:rPr>
          <w:rFonts w:ascii="David" w:hAnsi="David"/>
          <w:b/>
          <w:bCs/>
          <w:rtl/>
        </w:rPr>
        <w:t>קאדר נ' מדינת ישראל</w:t>
      </w:r>
      <w:r>
        <w:rPr>
          <w:rFonts w:ascii="David" w:hAnsi="David"/>
          <w:rtl/>
        </w:rPr>
        <w:t xml:space="preserve">, פסקה 21 (1.6.2022)" [ר' גם: </w:t>
      </w:r>
      <w:hyperlink r:id="rId17" w:history="1">
        <w:r w:rsidRPr="005E4F58">
          <w:rPr>
            <w:rtl/>
          </w:rPr>
          <w:t>ע"פ 1442/22</w:t>
        </w:r>
      </w:hyperlink>
      <w:r>
        <w:rPr>
          <w:rFonts w:ascii="David" w:hAnsi="David"/>
        </w:rPr>
        <w:t> </w:t>
      </w:r>
      <w:r>
        <w:rPr>
          <w:rFonts w:ascii="David" w:hAnsi="David"/>
          <w:b/>
          <w:bCs/>
          <w:rtl/>
        </w:rPr>
        <w:t>ניקולקין נ' מדינת ישראל</w:t>
      </w:r>
      <w:r>
        <w:rPr>
          <w:rFonts w:ascii="David" w:hAnsi="David"/>
          <w:rtl/>
        </w:rPr>
        <w:t xml:space="preserve">, פסקה 11 </w:t>
      </w:r>
      <w:r>
        <w:rPr>
          <w:rFonts w:ascii="David" w:hAnsi="David"/>
        </w:rPr>
        <w:t>(28.5.2023)</w:t>
      </w:r>
      <w:r>
        <w:rPr>
          <w:rFonts w:ascii="David" w:hAnsi="David"/>
          <w:rtl/>
        </w:rPr>
        <w:t xml:space="preserve">; ועניין </w:t>
      </w:r>
      <w:r>
        <w:rPr>
          <w:rFonts w:ascii="David" w:hAnsi="David"/>
          <w:b/>
          <w:bCs/>
          <w:rtl/>
        </w:rPr>
        <w:t>יאסין</w:t>
      </w:r>
      <w:r>
        <w:rPr>
          <w:rFonts w:ascii="David" w:hAnsi="David"/>
          <w:rtl/>
        </w:rPr>
        <w:t xml:space="preserve">, בפסקה 63]. </w:t>
      </w:r>
    </w:p>
    <w:p w:rsidR="00707B7E" w:rsidRDefault="00707B7E" w:rsidP="00707B7E">
      <w:pPr>
        <w:tabs>
          <w:tab w:val="left" w:pos="509"/>
        </w:tabs>
        <w:spacing w:line="360" w:lineRule="auto"/>
        <w:ind w:left="509"/>
        <w:contextualSpacing/>
        <w:jc w:val="both"/>
        <w:rPr>
          <w:rFonts w:ascii="David" w:hAnsi="David"/>
          <w:rtl/>
        </w:rPr>
      </w:pPr>
    </w:p>
    <w:p w:rsidR="00707B7E" w:rsidRDefault="00707B7E" w:rsidP="00707B7E">
      <w:pPr>
        <w:numPr>
          <w:ilvl w:val="0"/>
          <w:numId w:val="3"/>
        </w:numPr>
        <w:tabs>
          <w:tab w:val="left" w:pos="509"/>
        </w:tabs>
        <w:spacing w:after="160" w:line="360" w:lineRule="auto"/>
        <w:contextualSpacing/>
        <w:jc w:val="both"/>
        <w:rPr>
          <w:rFonts w:ascii="David" w:hAnsi="David"/>
        </w:rPr>
      </w:pPr>
      <w:r>
        <w:rPr>
          <w:rFonts w:ascii="David" w:hAnsi="David"/>
          <w:rtl/>
        </w:rPr>
        <w:t xml:space="preserve">שתי המגמות דלעיל שנקבעו בפסיקה של בית המשפט העליון: החמרה בענישה וקביעת מתחם מצומצם, יושמו על ידי בתי המשפט המחוזיים במגוון גזרי דין, שחלקם כבר נדונו בהליך ערעור בבית המשפט העליון. </w:t>
      </w:r>
    </w:p>
    <w:p w:rsidR="00707B7E" w:rsidRDefault="00707B7E" w:rsidP="00707B7E">
      <w:pPr>
        <w:tabs>
          <w:tab w:val="left" w:pos="509"/>
        </w:tabs>
        <w:spacing w:line="360" w:lineRule="auto"/>
        <w:ind w:left="509"/>
        <w:contextualSpacing/>
        <w:jc w:val="both"/>
        <w:rPr>
          <w:rFonts w:ascii="David" w:hAnsi="David"/>
        </w:rPr>
      </w:pPr>
    </w:p>
    <w:p w:rsidR="00707B7E" w:rsidRDefault="00707B7E" w:rsidP="00707B7E">
      <w:pPr>
        <w:tabs>
          <w:tab w:val="left" w:pos="509"/>
        </w:tabs>
        <w:spacing w:line="360" w:lineRule="auto"/>
        <w:ind w:left="509" w:hanging="425"/>
        <w:contextualSpacing/>
        <w:rPr>
          <w:rFonts w:ascii="David" w:hAnsi="David"/>
        </w:rPr>
      </w:pPr>
      <w:r>
        <w:rPr>
          <w:rFonts w:ascii="David" w:hAnsi="David"/>
          <w:u w:val="single"/>
          <w:rtl/>
        </w:rPr>
        <w:t>פסיקת בתי המשפט – הענישה בעבירה של רצח באדישות</w:t>
      </w:r>
      <w:r>
        <w:rPr>
          <w:rFonts w:ascii="David" w:hAnsi="David"/>
          <w:rtl/>
        </w:rPr>
        <w:t xml:space="preserve">: </w:t>
      </w:r>
    </w:p>
    <w:p w:rsidR="00707B7E" w:rsidRDefault="00707B7E" w:rsidP="00707B7E">
      <w:pPr>
        <w:tabs>
          <w:tab w:val="left" w:pos="509"/>
        </w:tabs>
        <w:spacing w:line="360" w:lineRule="auto"/>
        <w:ind w:left="509" w:hanging="425"/>
        <w:contextualSpacing/>
        <w:rPr>
          <w:rFonts w:ascii="David" w:hAnsi="David"/>
          <w:rtl/>
        </w:rPr>
      </w:pPr>
    </w:p>
    <w:p w:rsidR="00707B7E" w:rsidRDefault="00707B7E" w:rsidP="00707B7E">
      <w:pPr>
        <w:numPr>
          <w:ilvl w:val="0"/>
          <w:numId w:val="3"/>
        </w:numPr>
        <w:tabs>
          <w:tab w:val="left" w:pos="509"/>
        </w:tabs>
        <w:spacing w:after="160" w:line="360" w:lineRule="auto"/>
        <w:contextualSpacing/>
        <w:jc w:val="both"/>
        <w:rPr>
          <w:rFonts w:ascii="David" w:hAnsi="David"/>
          <w:rtl/>
        </w:rPr>
      </w:pPr>
      <w:r>
        <w:rPr>
          <w:rFonts w:ascii="David" w:hAnsi="David"/>
          <w:rtl/>
        </w:rPr>
        <w:t xml:space="preserve">הפסיקה שאליה הפנה ב"כ הנאשם לעניין רמת הענישה, אינה רלוונטית למקרה דנן. פסיקה זו מתייחסת לענישה בעבירות הריגה, בעוד שהנאשם הורשע בעבירה של רצח באדישות, בהתאם למצב המשפטי לאחר התיקון האמור. וכך קבע בית המשפט העליון: </w:t>
      </w:r>
    </w:p>
    <w:p w:rsidR="00707B7E" w:rsidRDefault="00707B7E" w:rsidP="00707B7E">
      <w:pPr>
        <w:tabs>
          <w:tab w:val="left" w:pos="509"/>
        </w:tabs>
        <w:spacing w:line="360" w:lineRule="auto"/>
        <w:ind w:left="502"/>
        <w:contextualSpacing/>
        <w:jc w:val="both"/>
        <w:rPr>
          <w:rFonts w:ascii="David" w:hAnsi="David"/>
        </w:rPr>
      </w:pPr>
      <w:r>
        <w:rPr>
          <w:rFonts w:ascii="David" w:hAnsi="David"/>
          <w:rtl/>
        </w:rPr>
        <w:t>"</w:t>
      </w:r>
      <w:r>
        <w:rPr>
          <w:rFonts w:ascii="David" w:hAnsi="David"/>
          <w:b/>
          <w:bCs/>
          <w:rtl/>
        </w:rPr>
        <w:t>חובה עלינו להבהיר כי בחינת רף הענישה בגין רצח באדישות לפי רף הענישה שהיה נהוג בעבר במסגרת עבירת ההריגה, סותרת את תכלית הרפורמה בעבירות ההמתה</w:t>
      </w:r>
      <w:r>
        <w:rPr>
          <w:rFonts w:ascii="David" w:hAnsi="David"/>
          <w:rtl/>
        </w:rPr>
        <w:t xml:space="preserve">" (עניין </w:t>
      </w:r>
      <w:r>
        <w:rPr>
          <w:rFonts w:ascii="David" w:hAnsi="David"/>
          <w:b/>
          <w:bCs/>
          <w:rtl/>
        </w:rPr>
        <w:t>יאסין</w:t>
      </w:r>
      <w:r>
        <w:rPr>
          <w:rFonts w:ascii="David" w:hAnsi="David"/>
          <w:rtl/>
        </w:rPr>
        <w:t xml:space="preserve">). </w:t>
      </w:r>
    </w:p>
    <w:p w:rsidR="00707B7E" w:rsidRDefault="00707B7E" w:rsidP="00707B7E">
      <w:pPr>
        <w:tabs>
          <w:tab w:val="left" w:pos="509"/>
        </w:tabs>
        <w:spacing w:line="360" w:lineRule="auto"/>
        <w:ind w:left="502"/>
        <w:contextualSpacing/>
        <w:jc w:val="both"/>
        <w:rPr>
          <w:rFonts w:ascii="David" w:hAnsi="David"/>
          <w:rtl/>
        </w:rPr>
      </w:pPr>
    </w:p>
    <w:p w:rsidR="00707B7E" w:rsidRDefault="00707B7E" w:rsidP="00707B7E">
      <w:pPr>
        <w:tabs>
          <w:tab w:val="left" w:pos="509"/>
        </w:tabs>
        <w:spacing w:line="360" w:lineRule="auto"/>
        <w:ind w:left="502"/>
        <w:contextualSpacing/>
        <w:jc w:val="both"/>
        <w:rPr>
          <w:rFonts w:ascii="David" w:hAnsi="David"/>
        </w:rPr>
      </w:pPr>
      <w:r>
        <w:rPr>
          <w:rFonts w:ascii="David" w:hAnsi="David"/>
          <w:rtl/>
        </w:rPr>
        <w:t xml:space="preserve">להלן תפורט הפסיקה בעבירה של רצח באדישות, הכוללת גם פסיקה שאליה התייחסו באי כוח הצדדים בטיעוניהם (ר' לעיל), מפסקי הדין המוקדמים עד לאלו שניתנו בעת האחרונה. מסקירה זו ניתן לעמוד על מגמת ההחמרה בענישה, שעקרונותיה פורטו לעיל: </w:t>
      </w:r>
    </w:p>
    <w:p w:rsidR="00707B7E" w:rsidRDefault="00707B7E" w:rsidP="00707B7E">
      <w:pPr>
        <w:tabs>
          <w:tab w:val="left" w:pos="509"/>
        </w:tabs>
        <w:spacing w:line="360" w:lineRule="auto"/>
        <w:ind w:left="509"/>
        <w:contextualSpacing/>
        <w:jc w:val="both"/>
        <w:rPr>
          <w:rFonts w:ascii="David" w:hAnsi="David"/>
          <w:highlight w:val="yellow"/>
          <w:rtl/>
        </w:rPr>
      </w:pPr>
    </w:p>
    <w:p w:rsidR="00D9162C" w:rsidRDefault="00D9162C" w:rsidP="00707B7E">
      <w:pPr>
        <w:tabs>
          <w:tab w:val="left" w:pos="509"/>
        </w:tabs>
        <w:spacing w:line="360" w:lineRule="auto"/>
        <w:ind w:left="509"/>
        <w:contextualSpacing/>
        <w:jc w:val="both"/>
        <w:rPr>
          <w:rFonts w:ascii="David" w:hAnsi="David"/>
          <w:highlight w:val="yellow"/>
          <w:rtl/>
        </w:rPr>
      </w:pPr>
    </w:p>
    <w:p w:rsidR="00707B7E" w:rsidRDefault="00707B7E" w:rsidP="00707B7E">
      <w:pPr>
        <w:numPr>
          <w:ilvl w:val="0"/>
          <w:numId w:val="3"/>
        </w:numPr>
        <w:tabs>
          <w:tab w:val="left" w:pos="509"/>
        </w:tabs>
        <w:spacing w:after="160" w:line="360" w:lineRule="auto"/>
        <w:contextualSpacing/>
        <w:jc w:val="both"/>
        <w:rPr>
          <w:rFonts w:ascii="David" w:hAnsi="David"/>
        </w:rPr>
      </w:pPr>
      <w:r>
        <w:rPr>
          <w:rFonts w:ascii="David" w:hAnsi="David"/>
          <w:rtl/>
        </w:rPr>
        <w:lastRenderedPageBreak/>
        <w:t xml:space="preserve">עניין </w:t>
      </w:r>
      <w:r>
        <w:rPr>
          <w:rFonts w:ascii="David" w:hAnsi="David"/>
          <w:b/>
          <w:bCs/>
          <w:rtl/>
        </w:rPr>
        <w:t>קפוסטין</w:t>
      </w:r>
      <w:r>
        <w:rPr>
          <w:rFonts w:ascii="David" w:hAnsi="David"/>
          <w:rtl/>
        </w:rPr>
        <w:t xml:space="preserve">: המערער הורשע, לאחר שמיעת ראיות, בעבירה של רצח באדישות של אמו. בית המשפט העליון דחה את ערעורו של המערער על הכרעת הדין ועל חומרת העונש, וקיבל את ערעור המדינה על קולת העונש. עונשו על המערער הועמד על 22 שנות מאסר (במקום 18). המערער ואמו המנוחה אכלו יחדיו ושתו אלכוהול. לאחר שעזב המערער, ובהמשך אותו הלילה, הגיעה המנוחה לדירת המערער. מסיבה שאינה ברורה, היכה המערער את המנוחה מכות רבות בחלקי גופה השונים, ביניהם ראשה, בטנה ובית החזה שלה, בהשתמשו, בין היתר, גם בחפצים שונים, ובכך גרם בשוויון נפש למותה. לחובת המערער היה עבר פלילי בגין עבירות אלימות כלפי בנות משפחתו. </w:t>
      </w:r>
    </w:p>
    <w:p w:rsidR="00707B7E" w:rsidRDefault="00707B7E" w:rsidP="00707B7E">
      <w:pPr>
        <w:tabs>
          <w:tab w:val="left" w:pos="509"/>
        </w:tabs>
        <w:spacing w:line="360" w:lineRule="auto"/>
        <w:jc w:val="both"/>
        <w:rPr>
          <w:rFonts w:ascii="David" w:hAnsi="David"/>
        </w:rPr>
      </w:pPr>
    </w:p>
    <w:p w:rsidR="00707B7E" w:rsidRPr="00732D89" w:rsidRDefault="00707B7E" w:rsidP="00707B7E">
      <w:pPr>
        <w:pStyle w:val="ab"/>
        <w:numPr>
          <w:ilvl w:val="0"/>
          <w:numId w:val="3"/>
        </w:numPr>
        <w:tabs>
          <w:tab w:val="left" w:pos="509"/>
        </w:tabs>
        <w:spacing w:line="360" w:lineRule="auto"/>
        <w:jc w:val="both"/>
        <w:rPr>
          <w:rFonts w:ascii="David" w:hAnsi="David" w:cs="David"/>
          <w:sz w:val="24"/>
          <w:szCs w:val="24"/>
          <w:u w:val="single"/>
        </w:rPr>
      </w:pPr>
      <w:r>
        <w:rPr>
          <w:rFonts w:ascii="David" w:hAnsi="David" w:cs="David"/>
          <w:sz w:val="24"/>
          <w:szCs w:val="24"/>
          <w:rtl/>
        </w:rPr>
        <w:t xml:space="preserve">עניין </w:t>
      </w:r>
      <w:r>
        <w:rPr>
          <w:rFonts w:ascii="David" w:hAnsi="David" w:cs="David"/>
          <w:b/>
          <w:bCs/>
          <w:sz w:val="24"/>
          <w:szCs w:val="24"/>
          <w:rtl/>
        </w:rPr>
        <w:t>גריפאת</w:t>
      </w:r>
      <w:r>
        <w:rPr>
          <w:rFonts w:ascii="David" w:hAnsi="David" w:cs="David"/>
          <w:sz w:val="24"/>
          <w:szCs w:val="24"/>
          <w:rtl/>
        </w:rPr>
        <w:t xml:space="preserve">: המשיב הודה והורשע בעבירה של רצח באדישות ונדון לעשר שנות מאסר. בית המשפט העליון קיבל את ערעור המדינה על קולת העונש והעמיד את עונשו של המשיב על 14 שנות מאסר. אחיו של המשיב נפצע בקטטה, ובשל הצעקות שנשמעו, יצאו המנוח ובני משפחתו מביתם ונעמדו ליד השער כדי לבחון את המתרחש. המנוח ניגש לרכב שחנה בסמוך ושאל את הנוכחים "מה קורה". משנודע למשיב על פציעתו של אחיו, הוא כעס על כך והגיע למקום בריצה. בהבחינו באחיו המדמם מראשו, נטל קרש עץ באורך של כ-70 ס"מ, הניפו, והנחית אותו בעוצמה על ראשו של המנוח, לעיניי בני משפחתו. כתוצאה מהמכה, התמוטט המנוח, והמשיב השליך את הקרש ועזב את המקום. בית המשפט העליון קבע מתחם שנע בין 14 ל-19 שנות מאסר. כמו כן, שקל בית המשפט העליון, בין היתר, את גילו הצעיר של המשיב, עברו הפלילי (עבירות רכוש), נסיבותיו המשפחתיות והאישיות, המורכבות, וכן את העובדה שמשפחת המנוח פוצתה במסגרת "סולחה". </w:t>
      </w:r>
    </w:p>
    <w:p w:rsidR="00732D89" w:rsidRPr="00732D89" w:rsidRDefault="00732D89" w:rsidP="00732D89">
      <w:pPr>
        <w:pStyle w:val="ab"/>
        <w:rPr>
          <w:rFonts w:ascii="David" w:hAnsi="David" w:cs="David"/>
          <w:sz w:val="24"/>
          <w:szCs w:val="24"/>
          <w:u w:val="single"/>
          <w:rtl/>
        </w:rPr>
      </w:pPr>
    </w:p>
    <w:p w:rsidR="00707B7E" w:rsidRDefault="00707B7E" w:rsidP="00707B7E">
      <w:pPr>
        <w:numPr>
          <w:ilvl w:val="0"/>
          <w:numId w:val="3"/>
        </w:numPr>
        <w:tabs>
          <w:tab w:val="left" w:pos="509"/>
        </w:tabs>
        <w:spacing w:after="160" w:line="360" w:lineRule="auto"/>
        <w:contextualSpacing/>
        <w:jc w:val="both"/>
        <w:rPr>
          <w:rFonts w:ascii="David" w:hAnsi="David"/>
        </w:rPr>
      </w:pPr>
      <w:r>
        <w:rPr>
          <w:rFonts w:ascii="David" w:hAnsi="David"/>
          <w:rtl/>
        </w:rPr>
        <w:t xml:space="preserve">עניין </w:t>
      </w:r>
      <w:r>
        <w:rPr>
          <w:rFonts w:ascii="David" w:hAnsi="David"/>
          <w:b/>
          <w:bCs/>
          <w:rtl/>
        </w:rPr>
        <w:t>דישלבסקי</w:t>
      </w:r>
      <w:r>
        <w:rPr>
          <w:rFonts w:ascii="David" w:hAnsi="David"/>
          <w:rtl/>
        </w:rPr>
        <w:t>: המערער הודה והורשע בעבירה של רצח באדישות של המנוח. בית המשפט העליון דחה את הערעור של המערער על חומרת העונש, קיבל את ערעור המדינה על קולת העונש, והעמיד את עונשו של המערער, שלו עבר פלילי בעבירות אלימות, על 22 שנות מאסר (במקום 18). המנוח, שהיה דר רחוב, נהג ללון ולעשות את צרכיו בבניין מגוריו של המערער. באחד הלילות נכנס המנוח לבניין, שתה אלכוהול והשתמש בסם. בהמשך, הגיע המערער והורה למנוח לצאת. המנוח צלע באיטיות לעבר היציאה מהבניין, המערער בעט בפלג גופו העליון והמנוח נפל על הרצפה. המערער המשיך לבעוט במנוח מספר רב של בעיטות בפלג גופו העליון, בגבו, בראשו, בפניו ובעורפו. גם לאחר שהמערער דחף את המנוח אל מחוץ לבניין, הוא יצא בעקבותיו לרחוב והמשיך להכות את המנוח ולבעוט בעוצמה רבה בראשו ובפניו, בעוד המנוח שרוע על המדרכה. המערער עלה לדירתו בבניין כשהוא מותיר את המנוח למותו. בית המשפט העליון קבע כי מתחם העונש ההולם נע בין 20 ל-24 שנות מאסר (במקום 22-17 שנקבע בבית המשפט המחוזי).</w:t>
      </w:r>
    </w:p>
    <w:p w:rsidR="00707B7E" w:rsidRDefault="00707B7E" w:rsidP="00707B7E">
      <w:pPr>
        <w:tabs>
          <w:tab w:val="left" w:pos="509"/>
        </w:tabs>
        <w:spacing w:line="360" w:lineRule="auto"/>
        <w:ind w:left="502"/>
        <w:contextualSpacing/>
        <w:jc w:val="both"/>
        <w:rPr>
          <w:rFonts w:ascii="David" w:hAnsi="David"/>
        </w:rPr>
      </w:pPr>
    </w:p>
    <w:p w:rsidR="00707B7E" w:rsidRDefault="00707B7E" w:rsidP="00707B7E">
      <w:pPr>
        <w:numPr>
          <w:ilvl w:val="0"/>
          <w:numId w:val="3"/>
        </w:numPr>
        <w:tabs>
          <w:tab w:val="left" w:pos="509"/>
        </w:tabs>
        <w:spacing w:after="160" w:line="360" w:lineRule="auto"/>
        <w:ind w:left="509" w:hanging="425"/>
        <w:contextualSpacing/>
        <w:jc w:val="both"/>
        <w:rPr>
          <w:rFonts w:ascii="David" w:hAnsi="David"/>
        </w:rPr>
      </w:pPr>
      <w:r>
        <w:rPr>
          <w:rFonts w:ascii="David" w:hAnsi="David"/>
          <w:rtl/>
        </w:rPr>
        <w:lastRenderedPageBreak/>
        <w:t xml:space="preserve">עניין </w:t>
      </w:r>
      <w:r>
        <w:rPr>
          <w:rFonts w:ascii="David" w:hAnsi="David"/>
          <w:b/>
          <w:bCs/>
          <w:rtl/>
        </w:rPr>
        <w:t>אנאנטאפאק</w:t>
      </w:r>
      <w:r>
        <w:rPr>
          <w:rFonts w:ascii="David" w:hAnsi="David"/>
          <w:rtl/>
        </w:rPr>
        <w:t>: נדחה הערעור על חומרת העונש בן 17 שנות מאסר שהוטל על המערער אשר הודה והורשע בעבירה של רצח באדישות. המערער והמנוח היו אזרחים תאילנדים שהועסקו בחקלאות. באחד הערבים התפתח ריב בין השניים שכלל דחיפות והשלכת חפצים זה על זה, עד שמכר משותף הפריד בין הניצים. בהמשך, המכר והמנוח עמדו במסדרון שבין חדרי המנוח והמערער, והמנוח המשיך לומר אמירות למערער, כגון: "בוא נראה אותך". המכר חצץ בין השניים ואחז במנוח כדי להרגיעו. המערער נכנס לחדרו, ונטל סכין עם להב באורך של כ-10 ס"מ, פתח את דלת חדרו ודקר את המנוח דקירה אחת בבית החזה. המערער הוציא את הסכין מגופו של המנוח, נכנס מיד לחדרו, והטמין את הסכין. המנוח נכנס לחדרו, שם התמוטט. בית המשפט המחוזי קבע שמתחם העונש נע בין 16 ל-22 שנות מאסר. המערער היה ללא עבר פלילי, ונמצא בארץ בגפו. בית המשפט העליון קבע כי העונש שנגזר הוא על הצד המקל.</w:t>
      </w:r>
    </w:p>
    <w:p w:rsidR="00707B7E" w:rsidRDefault="00707B7E" w:rsidP="00707B7E">
      <w:pPr>
        <w:pStyle w:val="ab"/>
        <w:rPr>
          <w:rFonts w:ascii="David" w:hAnsi="David" w:cs="David"/>
          <w:sz w:val="24"/>
          <w:szCs w:val="24"/>
        </w:rPr>
      </w:pPr>
    </w:p>
    <w:p w:rsidR="00707B7E" w:rsidRDefault="00707B7E" w:rsidP="00707B7E">
      <w:pPr>
        <w:numPr>
          <w:ilvl w:val="0"/>
          <w:numId w:val="3"/>
        </w:numPr>
        <w:tabs>
          <w:tab w:val="left" w:pos="509"/>
        </w:tabs>
        <w:spacing w:after="160" w:line="360" w:lineRule="auto"/>
        <w:contextualSpacing/>
        <w:jc w:val="both"/>
        <w:rPr>
          <w:rFonts w:ascii="David" w:hAnsi="David"/>
          <w:rtl/>
        </w:rPr>
      </w:pPr>
      <w:r>
        <w:rPr>
          <w:rFonts w:ascii="David" w:hAnsi="David"/>
          <w:rtl/>
        </w:rPr>
        <w:t xml:space="preserve">עניין </w:t>
      </w:r>
      <w:r>
        <w:rPr>
          <w:rFonts w:ascii="David" w:hAnsi="David"/>
          <w:b/>
          <w:bCs/>
          <w:rtl/>
        </w:rPr>
        <w:t>חוג'יראת</w:t>
      </w:r>
      <w:r>
        <w:rPr>
          <w:rFonts w:ascii="David" w:hAnsi="David"/>
          <w:rtl/>
        </w:rPr>
        <w:t xml:space="preserve">: מערער 1 הודה והורשע בעבירה של רצח באדישות, בחבלה בכוונה מחמירה ובעבירות נשק. בית המשפט העליון דחה את ערעורו, קיבל את ערעור המדינה והעמיד את עונשו של מערער 1 על 22 שנות מאסר (במקום 18 שנים). מערער 2 שהודה והורשע בסיוע לרצח, בסיוע לחבלה בכוונה מחמירה ובעבירות נשק, נדון לתשע שנות מאסר, והערעורים בעניינו נדחו. קדם לאירוע האלים סכסוך בין משפחות על רקע גירושין. המערערים הצטיידו בנשק מאולתר, וחיפשו את מי שסברו כי חסמו את דרכה של אחותם זמן קצר קודם לכן, במטרה לפגוע ולנקום בהם. משאיתרו המערערים את המנוח ואת חברו ברכבם, ירה מערער 1 לרכב שבו ישבו, הכדור פגע בדלת הרכב, חדר אותה, פגע בגופו של המנוח, וגרם למותו. בית המשפט המחוזי קבע שמתחם העונש נע בין 18 ל-25 שנות מאסר. בית המשפט העליון קבע בפסק-דינו כי מדובר במקרה "מהחמורים" של רצח באדישות, וכי העונש שנגזר הוא מהקלים. מערער 1 היה כבן 21, ללא עבר פלילי, ונסיבותיו האישיות היו מורכבות. </w:t>
      </w:r>
    </w:p>
    <w:p w:rsidR="00707B7E" w:rsidRDefault="00707B7E" w:rsidP="00707B7E">
      <w:pPr>
        <w:tabs>
          <w:tab w:val="left" w:pos="509"/>
        </w:tabs>
        <w:spacing w:line="360" w:lineRule="auto"/>
        <w:ind w:left="509" w:hanging="425"/>
        <w:contextualSpacing/>
        <w:jc w:val="both"/>
        <w:rPr>
          <w:rFonts w:ascii="David" w:hAnsi="David"/>
        </w:rPr>
      </w:pPr>
    </w:p>
    <w:p w:rsidR="00707B7E" w:rsidRDefault="00707B7E" w:rsidP="00707B7E">
      <w:pPr>
        <w:numPr>
          <w:ilvl w:val="0"/>
          <w:numId w:val="3"/>
        </w:numPr>
        <w:tabs>
          <w:tab w:val="left" w:pos="509"/>
        </w:tabs>
        <w:spacing w:after="160" w:line="360" w:lineRule="auto"/>
        <w:contextualSpacing/>
        <w:jc w:val="both"/>
        <w:rPr>
          <w:rFonts w:ascii="David" w:hAnsi="David"/>
          <w:rtl/>
        </w:rPr>
      </w:pPr>
      <w:r>
        <w:rPr>
          <w:rFonts w:ascii="David" w:hAnsi="David"/>
          <w:rtl/>
        </w:rPr>
        <w:t xml:space="preserve">עניין </w:t>
      </w:r>
      <w:r>
        <w:rPr>
          <w:rFonts w:ascii="David" w:hAnsi="David"/>
          <w:b/>
          <w:bCs/>
          <w:rtl/>
        </w:rPr>
        <w:t>בלאי</w:t>
      </w:r>
      <w:r>
        <w:rPr>
          <w:rFonts w:ascii="David" w:hAnsi="David"/>
          <w:rtl/>
        </w:rPr>
        <w:t xml:space="preserve">: נדחה הערעור על חומרת עונש מאסר בן 18.5 שנים שהושת על המערער אשר הודה והורשע בבית המשפט המחוזי בעבירה של רצח באדישות. בעוד המנוח וחבריו עמדו בתור במסעדה, הגיעו המערער וחבריו ונעמדו בסמוך אליהם. נאשם אחר באותה פרשיה (האחר) פנה למנוח, שאל אותו מדוע אינו מברכו לשלום, והמנוח השיב כי אינו מכירו. בשלב זה התפתח בין השניים ויכוח. חבריו של האחר ניסו להרגיעו והמנוח ניסה לדבר אל ליבו, אך האחר הוביל יחד עם המערער את המנוח בסמוך ליציאה של המסעדה. בשלב זה סימן האחר למערער ב"תנועת ראש" לתקוף את המנוח. המערער שלף סכין שהחזיק ברשותו ודקר את המנוח דקירה אחת בחזה וחמש דקירות נוספות בחלקים שונים של גופו. המנוח התמוטט, אך המערער לא הושיט לו עזרה. בית המשפט המחוזי קבע שמתחם העונש נע בין 18 ל-23 שנות מאסר. נשקלו נסיבותיו האישיות המורכבות של המערער, ומנגד נשקל עברו הפלילי שכלל עבירת אלימות בגינה ריצה </w:t>
      </w:r>
      <w:r>
        <w:rPr>
          <w:rFonts w:ascii="David" w:hAnsi="David"/>
          <w:rtl/>
        </w:rPr>
        <w:lastRenderedPageBreak/>
        <w:t>מאסר בפועל. בפסק דינו של בית המשפט העליון נקבע כי "</w:t>
      </w:r>
      <w:r>
        <w:rPr>
          <w:rFonts w:ascii="David" w:hAnsi="David"/>
          <w:b/>
          <w:bCs/>
          <w:rtl/>
        </w:rPr>
        <w:t>העונש שהוטל על המערער אינו סוטה ממדיניות הענישה הנוהגת</w:t>
      </w:r>
      <w:r>
        <w:rPr>
          <w:rFonts w:ascii="David" w:hAnsi="David"/>
          <w:b/>
          <w:bCs/>
        </w:rPr>
        <w:t>,</w:t>
      </w:r>
      <w:r>
        <w:rPr>
          <w:rFonts w:ascii="David" w:hAnsi="David"/>
          <w:b/>
          <w:bCs/>
          <w:rtl/>
        </w:rPr>
        <w:t xml:space="preserve"> ואם ניכרת סטייה כלשהיא הרי שהיא לקולה</w:t>
      </w:r>
      <w:r>
        <w:rPr>
          <w:rFonts w:ascii="David" w:hAnsi="David"/>
          <w:rtl/>
        </w:rPr>
        <w:t>".</w:t>
      </w:r>
    </w:p>
    <w:p w:rsidR="00707B7E" w:rsidRDefault="00707B7E" w:rsidP="00707B7E">
      <w:pPr>
        <w:tabs>
          <w:tab w:val="left" w:pos="509"/>
        </w:tabs>
        <w:spacing w:line="360" w:lineRule="auto"/>
        <w:ind w:left="502"/>
        <w:contextualSpacing/>
        <w:jc w:val="both"/>
        <w:rPr>
          <w:rFonts w:ascii="David" w:hAnsi="David"/>
          <w:rtl/>
        </w:rPr>
      </w:pPr>
    </w:p>
    <w:p w:rsidR="00732D89" w:rsidRDefault="00732D89" w:rsidP="00707B7E">
      <w:pPr>
        <w:tabs>
          <w:tab w:val="left" w:pos="509"/>
        </w:tabs>
        <w:spacing w:line="360" w:lineRule="auto"/>
        <w:ind w:left="502"/>
        <w:contextualSpacing/>
        <w:jc w:val="both"/>
        <w:rPr>
          <w:rFonts w:ascii="David" w:hAnsi="David"/>
        </w:rPr>
      </w:pPr>
    </w:p>
    <w:p w:rsidR="00707B7E" w:rsidRDefault="00707B7E" w:rsidP="00707B7E">
      <w:pPr>
        <w:numPr>
          <w:ilvl w:val="0"/>
          <w:numId w:val="3"/>
        </w:numPr>
        <w:tabs>
          <w:tab w:val="left" w:pos="509"/>
        </w:tabs>
        <w:spacing w:after="160" w:line="360" w:lineRule="auto"/>
        <w:contextualSpacing/>
        <w:jc w:val="both"/>
        <w:rPr>
          <w:rFonts w:ascii="David" w:hAnsi="David"/>
          <w:rtl/>
        </w:rPr>
      </w:pPr>
      <w:r>
        <w:rPr>
          <w:rFonts w:ascii="David" w:hAnsi="David"/>
          <w:rtl/>
        </w:rPr>
        <w:t xml:space="preserve">עניין </w:t>
      </w:r>
      <w:r>
        <w:rPr>
          <w:rFonts w:ascii="David" w:hAnsi="David"/>
          <w:b/>
          <w:bCs/>
          <w:rtl/>
        </w:rPr>
        <w:t>יאסין</w:t>
      </w:r>
      <w:r>
        <w:rPr>
          <w:rFonts w:ascii="David" w:hAnsi="David"/>
          <w:rtl/>
        </w:rPr>
        <w:t xml:space="preserve">: בבית המשפט המחוזי הורשע המשיב (בדעת רוב), לאחר שמיעת ראיות, בעבירת רצח של רעייתו בכוונה. דעת המיעוט סברה שיש להרשיעו ברצח באדישות. בית המשפט העליון דחה את ערעור המדינה, וקיבל את ערעורו של המשיב על הכרעת הדין ועל חומרת העונש. המשיב הורשע בעבירה של רצח באדישות (חלף רצח בכוונה), ועונשו הועמד על 20 שנות מאסר (במקום 22). נקבע כי המשיב דקר את המנוחה דקירה אחת בבית החזה אגב מגע כלשהו שנוצר בניסיונו של המשיב לקחת את הטלפון הנייד של המנוחה, ולא ברור אם מיקום הדקירה היה מכוון כך שניתן ללמוד ממנו באופן מובהק על רצון להמית את המנוחה. כמו כן, נלקחה בחשבון התנהגותו המשונה של המשיב לאחר האירוע, שחלק משמעותי ממנה מלמד בעיקרו על אדישות ולאו דווקא על כוונה להמית. </w:t>
      </w:r>
    </w:p>
    <w:p w:rsidR="00707B7E" w:rsidRDefault="00707B7E" w:rsidP="00707B7E">
      <w:pPr>
        <w:tabs>
          <w:tab w:val="left" w:pos="509"/>
        </w:tabs>
        <w:spacing w:line="360" w:lineRule="auto"/>
        <w:ind w:left="509"/>
        <w:contextualSpacing/>
        <w:jc w:val="both"/>
        <w:rPr>
          <w:rFonts w:ascii="David" w:hAnsi="David"/>
          <w:rtl/>
        </w:rPr>
      </w:pPr>
      <w:r>
        <w:rPr>
          <w:rFonts w:ascii="David" w:hAnsi="David"/>
          <w:rtl/>
        </w:rPr>
        <w:t>ביחס למתחם שנקבע בבית המשפט המחוזי: 25-19 שנות מאסר, קבע בית המשפט העליון בפסק-דינו: "</w:t>
      </w:r>
      <w:r>
        <w:rPr>
          <w:rFonts w:ascii="David" w:hAnsi="David"/>
          <w:b/>
          <w:bCs/>
          <w:rtl/>
        </w:rPr>
        <w:t>הגם שהוא רחב במעט מן הרצוי, התברר לאחר שהתגבשה מדיניות הענישה, ככזה המתאים לעבירת רצח באדישות ולא לרצח בכוונה</w:t>
      </w:r>
      <w:r>
        <w:rPr>
          <w:rFonts w:ascii="David" w:hAnsi="David"/>
          <w:rtl/>
        </w:rPr>
        <w:t>". עוד צוין כי ההקלה בעונשו של המשיב "</w:t>
      </w:r>
      <w:r>
        <w:rPr>
          <w:rFonts w:ascii="David" w:hAnsi="David"/>
          <w:b/>
          <w:bCs/>
          <w:rtl/>
        </w:rPr>
        <w:t>מקורה בנסיבות המקרה</w:t>
      </w:r>
      <w:r>
        <w:rPr>
          <w:rFonts w:ascii="David" w:hAnsi="David"/>
          <w:rtl/>
        </w:rPr>
        <w:t>" – כאשר מדיניות הענישה בגין עבירת הרצח הבסיסית התגבשה והתפתחה באופן משמעותי לאחר גזר הדין, ולאחר שכבר נגזר על המשיב עונש של 22 שנות מאסר בפועל בגין רצח בכוונה – "</w:t>
      </w:r>
      <w:r>
        <w:rPr>
          <w:rFonts w:ascii="David" w:hAnsi="David"/>
          <w:b/>
          <w:bCs/>
          <w:rtl/>
        </w:rPr>
        <w:t>והיא אינה מבטאת את מדיניות הענישה הנקוטה בידינו ביחס לעבירת הרצח הבסיסית</w:t>
      </w:r>
      <w:r>
        <w:rPr>
          <w:rFonts w:ascii="David" w:hAnsi="David"/>
          <w:rtl/>
        </w:rPr>
        <w:t>"</w:t>
      </w:r>
      <w:r>
        <w:rPr>
          <w:rFonts w:ascii="David" w:hAnsi="David"/>
        </w:rPr>
        <w:t>.</w:t>
      </w:r>
    </w:p>
    <w:p w:rsidR="00707B7E" w:rsidRDefault="00707B7E" w:rsidP="00707B7E">
      <w:pPr>
        <w:tabs>
          <w:tab w:val="left" w:pos="509"/>
        </w:tabs>
        <w:spacing w:line="360" w:lineRule="auto"/>
        <w:ind w:left="509" w:hanging="425"/>
        <w:contextualSpacing/>
        <w:jc w:val="both"/>
        <w:rPr>
          <w:rFonts w:ascii="David" w:hAnsi="David"/>
          <w:rtl/>
        </w:rPr>
      </w:pPr>
    </w:p>
    <w:p w:rsidR="00707B7E" w:rsidRDefault="00707B7E" w:rsidP="00707B7E">
      <w:pPr>
        <w:tabs>
          <w:tab w:val="left" w:pos="509"/>
        </w:tabs>
        <w:spacing w:line="360" w:lineRule="auto"/>
        <w:ind w:left="509"/>
        <w:contextualSpacing/>
        <w:jc w:val="both"/>
        <w:rPr>
          <w:rFonts w:ascii="David" w:hAnsi="David"/>
        </w:rPr>
      </w:pPr>
      <w:r>
        <w:rPr>
          <w:rFonts w:ascii="David" w:hAnsi="David"/>
          <w:u w:val="single"/>
          <w:rtl/>
        </w:rPr>
        <w:t>בין ובין, ניתנו בבתי המשפט המחוזיים, גזרי דין שיישמו את המגמה שעלתה בפסיקת בית המשפט העליון דלעיל</w:t>
      </w:r>
      <w:r>
        <w:rPr>
          <w:rFonts w:ascii="David" w:hAnsi="David"/>
          <w:rtl/>
        </w:rPr>
        <w:t xml:space="preserve">. גזרי הדין שיובאו להלן אינם חלוטים ותלוי ועומד בעניינם ערעור בבית המשפט העליון: </w:t>
      </w:r>
    </w:p>
    <w:p w:rsidR="00707B7E" w:rsidRDefault="00707B7E" w:rsidP="00707B7E">
      <w:pPr>
        <w:tabs>
          <w:tab w:val="left" w:pos="509"/>
        </w:tabs>
        <w:spacing w:line="360" w:lineRule="auto"/>
        <w:ind w:left="509" w:hanging="425"/>
        <w:contextualSpacing/>
        <w:jc w:val="both"/>
        <w:rPr>
          <w:rFonts w:ascii="David" w:hAnsi="David"/>
          <w:rtl/>
        </w:rPr>
      </w:pPr>
    </w:p>
    <w:p w:rsidR="00707B7E" w:rsidRDefault="00707B7E" w:rsidP="00707B7E">
      <w:pPr>
        <w:numPr>
          <w:ilvl w:val="0"/>
          <w:numId w:val="3"/>
        </w:numPr>
        <w:tabs>
          <w:tab w:val="left" w:pos="509"/>
        </w:tabs>
        <w:spacing w:after="160" w:line="360" w:lineRule="auto"/>
        <w:contextualSpacing/>
        <w:jc w:val="both"/>
        <w:rPr>
          <w:rFonts w:ascii="David" w:hAnsi="David"/>
          <w:rtl/>
        </w:rPr>
      </w:pPr>
      <w:r>
        <w:rPr>
          <w:rFonts w:ascii="David" w:hAnsi="David"/>
          <w:rtl/>
        </w:rPr>
        <w:t xml:space="preserve">תפ"ח </w:t>
      </w:r>
      <w:r>
        <w:rPr>
          <w:rFonts w:ascii="David" w:hAnsi="David"/>
          <w:b/>
          <w:bCs/>
          <w:rtl/>
        </w:rPr>
        <w:t>אלשמאלי</w:t>
      </w:r>
      <w:r>
        <w:rPr>
          <w:rFonts w:ascii="David" w:hAnsi="David"/>
          <w:rtl/>
        </w:rPr>
        <w:t xml:space="preserve">: הנאשם שהודה (לאחר סיום פרשת התביעה) נדון ל-25 שנות מאסר בגין עבירה של רצח באדישות, בנסיבות חמורות באופן משמעותי מנסיבות המקרה דנן. בין משפחת הנאשמים למשפחת המנוחה ניטש סכסוך אלים. במהלך מפגש הסולחה, ולאחר תכנון מוקדם, דקרו הנאשמים אדם בשם עאמר, לאחר שסברו שהוא זה שדקר בעבר את אחיהם. בהמשך רדף נאשם 1 אחרי עאמר וירה לעברו באמצעות אקדח גנוב. גם לאחר שנאשם 1 איבד קשר עין עם עאמר, המשיך בירי ללא מעצורים לכיוון בניין המגורים שבו מתגוררים רבים בני משפחתו של עאמר, וביניהם המנוחה שעמדה במטבח ביתה-מבצרה והכינה בקבוק חלב לבתה. אחד הקליעים שנורו מאקדחו של הנאשם חדר דרך תריס חלון הבית, פילח את צווארה של המנוחה </w:t>
      </w:r>
      <w:r>
        <w:rPr>
          <w:rFonts w:ascii="David" w:hAnsi="David"/>
          <w:rtl/>
        </w:rPr>
        <w:lastRenderedPageBreak/>
        <w:t xml:space="preserve">וגרם למותה המיידי. בית המשפט המחוזי קבע שעניינו של הנאשם ממוקם בקבוצת המקרים החמורים שבין מעשי רצח באדישות, ושמתחם העונש נע בין 27-23 שנות מאסר. </w:t>
      </w:r>
    </w:p>
    <w:p w:rsidR="00707B7E" w:rsidRDefault="00707B7E" w:rsidP="00732D89">
      <w:pPr>
        <w:tabs>
          <w:tab w:val="left" w:pos="509"/>
        </w:tabs>
        <w:spacing w:line="360" w:lineRule="auto"/>
        <w:ind w:left="502"/>
        <w:contextualSpacing/>
        <w:jc w:val="both"/>
        <w:rPr>
          <w:rFonts w:ascii="David" w:hAnsi="David"/>
          <w:rtl/>
        </w:rPr>
      </w:pPr>
    </w:p>
    <w:p w:rsidR="00732D89" w:rsidRDefault="00732D89" w:rsidP="00707B7E">
      <w:pPr>
        <w:tabs>
          <w:tab w:val="left" w:pos="509"/>
        </w:tabs>
        <w:spacing w:line="360" w:lineRule="auto"/>
        <w:ind w:left="509"/>
        <w:contextualSpacing/>
        <w:jc w:val="both"/>
        <w:rPr>
          <w:rFonts w:ascii="David" w:hAnsi="David"/>
          <w:rtl/>
        </w:rPr>
      </w:pPr>
    </w:p>
    <w:p w:rsidR="00707B7E" w:rsidRDefault="00707B7E" w:rsidP="00707B7E">
      <w:pPr>
        <w:numPr>
          <w:ilvl w:val="0"/>
          <w:numId w:val="3"/>
        </w:numPr>
        <w:tabs>
          <w:tab w:val="left" w:pos="509"/>
        </w:tabs>
        <w:spacing w:after="160" w:line="360" w:lineRule="auto"/>
        <w:contextualSpacing/>
        <w:jc w:val="both"/>
        <w:rPr>
          <w:rFonts w:ascii="David" w:hAnsi="David"/>
        </w:rPr>
      </w:pPr>
      <w:r>
        <w:rPr>
          <w:rFonts w:ascii="David" w:hAnsi="David"/>
          <w:rtl/>
        </w:rPr>
        <w:t xml:space="preserve">תפ"ח (חי') 6432-02-22 </w:t>
      </w:r>
      <w:r>
        <w:rPr>
          <w:rFonts w:ascii="David" w:hAnsi="David"/>
          <w:b/>
          <w:bCs/>
          <w:rtl/>
        </w:rPr>
        <w:t>מדינת ישראל נ' בן עמי</w:t>
      </w:r>
      <w:r>
        <w:rPr>
          <w:rFonts w:ascii="David" w:hAnsi="David"/>
          <w:rtl/>
        </w:rPr>
        <w:t xml:space="preserve"> (7.2.2024): הנאשם שהודה נדון ל-21 שנות מאסר בגין עבירה של רצח באדישות, בכך שדקר דקירה אחת את המנוח בחזה שלו. בין הנאשם למנוח לא הייתה כל היכרות מוקדמת. המנוח, שבאותו ערב צרך אלכוהול, התקדם לעבר חבריו של הנאשם, ואמר: "אוהב אתכם", "שונא אתכם" ו-"אני רוצה לריב", נעמד מולם, נצמד עם הראש לראשו של אחד החברים, וטפח על כתפיהם. אחד מהם אמר למנוח שהוא שיכור ושעדיף שילך בדרך שלו, וכן הזהירו שלא "ייפול" על חבר'ה פחות סובלניים. תוך כדי השיח, שלף הנאשם אולר "לדרמן" שהחזיק, ודקר את המנוח דקירה אחת בבית החזה שלו. בית המשפט המחוזי קבע שמתחם העונש נע בין 20 ל-24 שנות מאסר. הנאשם הוא אדם צעיר, ללא עבר פלילי, ומתמודד עם נסיבות חיים מורכבות. </w:t>
      </w:r>
    </w:p>
    <w:p w:rsidR="00707B7E" w:rsidRDefault="00707B7E" w:rsidP="00707B7E">
      <w:pPr>
        <w:tabs>
          <w:tab w:val="left" w:pos="509"/>
        </w:tabs>
        <w:spacing w:line="360" w:lineRule="auto"/>
        <w:ind w:left="509" w:hanging="425"/>
        <w:contextualSpacing/>
        <w:jc w:val="both"/>
        <w:rPr>
          <w:rFonts w:ascii="David" w:hAnsi="David"/>
          <w:rtl/>
        </w:rPr>
      </w:pPr>
    </w:p>
    <w:p w:rsidR="00707B7E" w:rsidRDefault="00707B7E" w:rsidP="00707B7E">
      <w:pPr>
        <w:numPr>
          <w:ilvl w:val="0"/>
          <w:numId w:val="3"/>
        </w:numPr>
        <w:tabs>
          <w:tab w:val="left" w:pos="509"/>
        </w:tabs>
        <w:spacing w:after="160" w:line="360" w:lineRule="auto"/>
        <w:contextualSpacing/>
        <w:jc w:val="both"/>
        <w:rPr>
          <w:rFonts w:ascii="David" w:hAnsi="David"/>
        </w:rPr>
      </w:pPr>
      <w:r>
        <w:rPr>
          <w:rFonts w:ascii="David" w:hAnsi="David"/>
          <w:rtl/>
        </w:rPr>
        <w:t xml:space="preserve">תפ"ח </w:t>
      </w:r>
      <w:r>
        <w:rPr>
          <w:rFonts w:ascii="David" w:hAnsi="David"/>
          <w:b/>
          <w:bCs/>
          <w:rtl/>
        </w:rPr>
        <w:t>קיברה</w:t>
      </w:r>
      <w:r>
        <w:rPr>
          <w:rFonts w:ascii="David" w:hAnsi="David"/>
          <w:rtl/>
        </w:rPr>
        <w:t xml:space="preserve">: הנאשמים הודו והורשעו בעבירה של רצח באדישות ובעבירות נוספות, ונדונו ל-21 שנות מאסר (נאשם 1) ול-23 שנות מאסר (נאשם 2). בין הנאשמים לבין אחר התגלע ויכוח על רקע כספי שהתפתח לקטטה. הנאשמים היכו את האחר, אשר הצליח לבסוף להימלט. </w:t>
      </w:r>
    </w:p>
    <w:p w:rsidR="00707B7E" w:rsidRDefault="00707B7E" w:rsidP="00707B7E">
      <w:pPr>
        <w:tabs>
          <w:tab w:val="left" w:pos="509"/>
        </w:tabs>
        <w:spacing w:line="360" w:lineRule="auto"/>
        <w:ind w:left="502"/>
        <w:contextualSpacing/>
        <w:jc w:val="both"/>
        <w:rPr>
          <w:rFonts w:ascii="David" w:hAnsi="David"/>
        </w:rPr>
      </w:pPr>
      <w:r>
        <w:rPr>
          <w:rFonts w:ascii="David" w:hAnsi="David"/>
          <w:rtl/>
        </w:rPr>
        <w:t xml:space="preserve">לאחר מכן, חזר האחר למקום ברכב ובו שלושה נוספים, בהם המנוח, על מנת לאסוף דבר מה ששכח האחר במקום. האחר יצא מהרכב והנאשמים התקרבו לעברו בהפגנתיות. נאשם 1 שלף מכיסו אקדח טעון, התקרב באופן מאיים לכיוון האחר והעביר את האקדח לנאשם 2. משהבחין האחר באקדח הוא החל להתרחק מהם. בין לבין יצא המנוח מהרכב ושהה בסמוך לאחר. נאשם 2 ירה מספר יריות. שתיים מהיריות פגעו במנוח, בירך ובבית החזה שלו, והמנוח מת במקום. בעניינו של נאשם 1 קבע בית המשפט המחוזי מתחם שנע בין 23-19 שנות מאסר, ובעניינו של נאשם 2 נקבע מתחם שנע בין 25-21 שנים. </w:t>
      </w:r>
    </w:p>
    <w:p w:rsidR="00707B7E" w:rsidRDefault="00707B7E" w:rsidP="00707B7E">
      <w:pPr>
        <w:tabs>
          <w:tab w:val="left" w:pos="509"/>
        </w:tabs>
        <w:spacing w:line="360" w:lineRule="auto"/>
        <w:ind w:left="509"/>
        <w:contextualSpacing/>
        <w:jc w:val="both"/>
        <w:rPr>
          <w:rFonts w:ascii="David" w:hAnsi="David"/>
          <w:rtl/>
        </w:rPr>
      </w:pPr>
      <w:r>
        <w:rPr>
          <w:rFonts w:ascii="David" w:hAnsi="David"/>
          <w:rtl/>
        </w:rPr>
        <w:t>בית המשפט שקל את הודאת הנאשמים ואת הנסיבות האישיות המורכבות בעניינם. מנגד, נשקל עברם הפלילי המשמעותי של כל אחד מהנאשמים, והעובדה כי השתחררו ממאסרם האחרון זמן קצר בטרם ביצוע העבירות הנוכחיות, וזאת לצד שיקולי הרתעה.</w:t>
      </w:r>
    </w:p>
    <w:p w:rsidR="00707B7E" w:rsidRDefault="00707B7E" w:rsidP="00707B7E">
      <w:pPr>
        <w:tabs>
          <w:tab w:val="left" w:pos="509"/>
        </w:tabs>
        <w:spacing w:line="360" w:lineRule="auto"/>
        <w:ind w:left="509" w:hanging="425"/>
        <w:contextualSpacing/>
        <w:jc w:val="both"/>
        <w:rPr>
          <w:rFonts w:ascii="David" w:hAnsi="David"/>
          <w:rtl/>
        </w:rPr>
      </w:pPr>
    </w:p>
    <w:p w:rsidR="00707B7E" w:rsidRDefault="00707B7E" w:rsidP="00707B7E">
      <w:pPr>
        <w:numPr>
          <w:ilvl w:val="0"/>
          <w:numId w:val="3"/>
        </w:numPr>
        <w:tabs>
          <w:tab w:val="left" w:pos="509"/>
        </w:tabs>
        <w:spacing w:after="160" w:line="360" w:lineRule="auto"/>
        <w:contextualSpacing/>
        <w:jc w:val="both"/>
        <w:rPr>
          <w:rFonts w:ascii="David" w:hAnsi="David"/>
        </w:rPr>
      </w:pPr>
      <w:r>
        <w:rPr>
          <w:rFonts w:ascii="David" w:hAnsi="David"/>
          <w:rtl/>
        </w:rPr>
        <w:t xml:space="preserve">תפ"ח </w:t>
      </w:r>
      <w:r>
        <w:rPr>
          <w:rFonts w:ascii="David" w:hAnsi="David"/>
          <w:b/>
          <w:bCs/>
          <w:rtl/>
        </w:rPr>
        <w:t>אמסלם</w:t>
      </w:r>
      <w:r>
        <w:rPr>
          <w:rFonts w:ascii="David" w:hAnsi="David"/>
          <w:rtl/>
        </w:rPr>
        <w:t xml:space="preserve">: הנאשם שהודה נדון לעונש של 19 שנות מאסר בגין עבירה של רצח באדישות. הנאשם והמנוח ישבו יחד, שתו אלכוהול והתפתח ביניהם ויכוח. המנוח דחף את הנאשם, ובהמשך הביא הנאשם סכין ושב למנוח לפי בקשתו. הוויכוח בין השניים נמשך, ובמהלכו, בין היתר, נצמד המנוח בגופו לנאשם, ואמר לו מילים קשות. לאחר מכן הגיע המנוח לקרוואן של הנאשם ואמר לו: "בוא עם הסכין שלך אני שובר לך את הראש" או מילים דומות, ונצמד עם ראשו לראשו של הנאשם. בתגובה, דקר הנאשם באמצעות הסכין דקירה אחת את המנוח בחזהו, </w:t>
      </w:r>
      <w:r>
        <w:rPr>
          <w:rFonts w:ascii="David" w:hAnsi="David"/>
          <w:rtl/>
        </w:rPr>
        <w:lastRenderedPageBreak/>
        <w:t xml:space="preserve">והמנוח התמוטט. הנאשם ביקש מחבר אחר שיזעיק אמבולנס והעלים את הסכין. בית המשפט המחוזי קבע שמתחם העונש נע בין 18 ל-23 שנות מאסר. </w:t>
      </w:r>
    </w:p>
    <w:p w:rsidR="00707B7E" w:rsidRDefault="00707B7E" w:rsidP="00707B7E">
      <w:pPr>
        <w:tabs>
          <w:tab w:val="left" w:pos="509"/>
        </w:tabs>
        <w:spacing w:line="360" w:lineRule="auto"/>
        <w:ind w:left="509"/>
        <w:contextualSpacing/>
        <w:jc w:val="both"/>
        <w:rPr>
          <w:rFonts w:ascii="David" w:hAnsi="David"/>
        </w:rPr>
      </w:pPr>
      <w:r>
        <w:rPr>
          <w:rFonts w:ascii="David" w:hAnsi="David"/>
          <w:rtl/>
        </w:rPr>
        <w:t xml:space="preserve">לנאשם היה עבר פלילי, בין היתר, בעבירות אלימות, איומים, החזקת סכין וסמים, לרבות ריצוי מאסר בפועל. מנגד, הנאשם נטל אחריות כבר מתחילת הדרך, נסיבותיו האישיות היו קשות, לרבות התמודדות עם עבר אלים בתוך המשפחה, מחלות והתמודדויות נפשיות. </w:t>
      </w:r>
    </w:p>
    <w:p w:rsidR="00707B7E" w:rsidRDefault="00707B7E" w:rsidP="00707B7E">
      <w:pPr>
        <w:tabs>
          <w:tab w:val="left" w:pos="509"/>
        </w:tabs>
        <w:spacing w:line="360" w:lineRule="auto"/>
        <w:ind w:left="509" w:hanging="425"/>
        <w:contextualSpacing/>
        <w:jc w:val="both"/>
        <w:rPr>
          <w:rFonts w:ascii="David" w:hAnsi="David"/>
        </w:rPr>
      </w:pPr>
    </w:p>
    <w:p w:rsidR="00707B7E" w:rsidRDefault="00707B7E" w:rsidP="00707B7E">
      <w:pPr>
        <w:numPr>
          <w:ilvl w:val="0"/>
          <w:numId w:val="3"/>
        </w:numPr>
        <w:tabs>
          <w:tab w:val="left" w:pos="509"/>
        </w:tabs>
        <w:spacing w:after="160" w:line="360" w:lineRule="auto"/>
        <w:contextualSpacing/>
        <w:jc w:val="both"/>
        <w:rPr>
          <w:rFonts w:ascii="David" w:hAnsi="David"/>
        </w:rPr>
      </w:pPr>
      <w:r>
        <w:rPr>
          <w:rFonts w:ascii="David" w:hAnsi="David"/>
          <w:rtl/>
        </w:rPr>
        <w:t xml:space="preserve">תפ"ח (מרכז) 63183-07-21 </w:t>
      </w:r>
      <w:r>
        <w:rPr>
          <w:rFonts w:ascii="David" w:hAnsi="David"/>
          <w:b/>
          <w:bCs/>
          <w:rtl/>
        </w:rPr>
        <w:t>מדינת ישראל נ' עיסא</w:t>
      </w:r>
      <w:r>
        <w:rPr>
          <w:rFonts w:ascii="David" w:hAnsi="David"/>
          <w:rtl/>
        </w:rPr>
        <w:t xml:space="preserve"> (20.7.2023). הנאשם שהודה נדון לעונש של 20 שנות מאסר בגין עבירה של רצח באדישות ופציעה בנסיבות מחמירות. בין נאשם אחר בפרשה (האחר) לבין המנוח התפתח ויכוח סתמי, כשברקע היכרות מוקדמת. הנאשמים נסעו אל ביתו של האחר וחזרו כשהם חמושים, האחר בלום ברזל והנאשם בסכין, מתוך כוונה לפגוע במנוח ובחבריו. המנוח וחבריו ניגשו אל הנאשמים. האחר הניף את לום הברזל באוויר ורץ לעבר המנוח. הנאשם רץ לעברם ושלף את הסכין ממכנסיו. בין הצדדים פרצה תגרה, שבמהלכה האחר חבט בחוזקה במנוח באמצעות לום הברזל. הנאשם הניף את הסכין אל עבר פלג גופו העליון של אחד מחבריו הקטינים של המנוח שניסה להגן על המנוח, וחתך אותו בזרועו. מיד לאחר מכן דקר הנאשם את המנוח בחזהו. בית המשפט המחוזי קבע שמתחם העונש נע בין 18 ל-22 שנות מאסר.</w:t>
      </w:r>
    </w:p>
    <w:p w:rsidR="00707B7E" w:rsidRDefault="00707B7E" w:rsidP="00707B7E">
      <w:pPr>
        <w:tabs>
          <w:tab w:val="left" w:pos="509"/>
        </w:tabs>
        <w:spacing w:line="360" w:lineRule="auto"/>
        <w:ind w:left="509"/>
        <w:contextualSpacing/>
        <w:jc w:val="both"/>
        <w:rPr>
          <w:rFonts w:ascii="David" w:hAnsi="David"/>
        </w:rPr>
      </w:pPr>
      <w:r>
        <w:rPr>
          <w:rFonts w:ascii="David" w:hAnsi="David"/>
          <w:rtl/>
        </w:rPr>
        <w:t xml:space="preserve">אומנם הנאשם הסגיר את עצמו והודה במעשיו כבר במהלך החקירה, אך שירות המבחן התרשם כי נטילת האחריות מצד הנאשם הייתה פורמלית וכי הוא נוטה להשליך את האחריות על האחר. </w:t>
      </w:r>
    </w:p>
    <w:p w:rsidR="00707B7E" w:rsidRDefault="00707B7E" w:rsidP="00707B7E">
      <w:pPr>
        <w:tabs>
          <w:tab w:val="left" w:pos="509"/>
        </w:tabs>
        <w:spacing w:line="360" w:lineRule="auto"/>
        <w:ind w:left="509" w:hanging="425"/>
        <w:contextualSpacing/>
        <w:jc w:val="both"/>
        <w:rPr>
          <w:rFonts w:ascii="David" w:hAnsi="David"/>
          <w:rtl/>
        </w:rPr>
      </w:pPr>
    </w:p>
    <w:p w:rsidR="00707B7E" w:rsidRDefault="00707B7E" w:rsidP="00707B7E">
      <w:pPr>
        <w:numPr>
          <w:ilvl w:val="0"/>
          <w:numId w:val="3"/>
        </w:numPr>
        <w:tabs>
          <w:tab w:val="left" w:pos="509"/>
        </w:tabs>
        <w:spacing w:after="160" w:line="360" w:lineRule="auto"/>
        <w:contextualSpacing/>
        <w:jc w:val="both"/>
        <w:rPr>
          <w:rFonts w:ascii="David" w:hAnsi="David"/>
        </w:rPr>
      </w:pPr>
      <w:r>
        <w:rPr>
          <w:rFonts w:ascii="David" w:hAnsi="David"/>
          <w:rtl/>
        </w:rPr>
        <w:t xml:space="preserve">תפ"ח (חי') 12421-08-20 </w:t>
      </w:r>
      <w:r>
        <w:rPr>
          <w:rFonts w:ascii="David" w:hAnsi="David"/>
          <w:b/>
          <w:bCs/>
          <w:rtl/>
        </w:rPr>
        <w:t>מדינת ישראל נ' ברכאת</w:t>
      </w:r>
      <w:r>
        <w:rPr>
          <w:rFonts w:ascii="David" w:hAnsi="David"/>
          <w:rtl/>
        </w:rPr>
        <w:t xml:space="preserve"> (2.7.2023): שני הנאשמים הורשעו, לאחר שמיעת ראיות, בעבירה של רצח באדישות על רקע מה שמכונה "כבוד המשפחה", ונדונו לעונש של 17 שנות מאסר. נאשם 2 שיתף את נאשם 1 בכך שהמנוח מטריד את אחותו (של נאשם 2). על רקע זה נפגשו השניים עם המנוח, לאחר שהמנוח הגיע למקום המפגש עם שתי בנותיו הרכות בשנים. שני הנאשמים היכו את המנוח בצורה קשה במכות אגרוף ובבעיטות, וכן באמצעות אבן, וגרמו למותו. בית המשפט המחוזי קבע שמתחם העונש נע בין 16 ל-22 שנות מאסר. </w:t>
      </w:r>
    </w:p>
    <w:p w:rsidR="00707B7E" w:rsidRDefault="00707B7E" w:rsidP="00707B7E">
      <w:pPr>
        <w:tabs>
          <w:tab w:val="left" w:pos="509"/>
        </w:tabs>
        <w:spacing w:line="360" w:lineRule="auto"/>
        <w:ind w:left="509"/>
        <w:contextualSpacing/>
        <w:jc w:val="both"/>
        <w:rPr>
          <w:rFonts w:ascii="David" w:hAnsi="David"/>
        </w:rPr>
      </w:pPr>
      <w:r>
        <w:rPr>
          <w:rFonts w:ascii="David" w:hAnsi="David"/>
          <w:rtl/>
        </w:rPr>
        <w:t xml:space="preserve">שני הנאשמים הם אנשים צעירים, ללא עבר פלילי. אומנם השניים ניהלו הליך הוכחות, אך הם ויתרו על חלק נכבד מעדי התביעה ומיקדו את המחלוקת בשאלת היסוד הנפשי. עם זאת, הנאשמים לא נטלו אחריות מלאה על האירוע. בית המשפט קבע שהנאשמים אינם יכולים לבקש את אותה התחשבות השמורה למי שמודה ומביע חרטה. </w:t>
      </w:r>
    </w:p>
    <w:p w:rsidR="00707B7E" w:rsidRDefault="00707B7E" w:rsidP="00707B7E">
      <w:pPr>
        <w:tabs>
          <w:tab w:val="left" w:pos="509"/>
        </w:tabs>
        <w:spacing w:line="360" w:lineRule="auto"/>
        <w:ind w:left="509" w:hanging="425"/>
        <w:contextualSpacing/>
        <w:jc w:val="both"/>
        <w:rPr>
          <w:rFonts w:ascii="David" w:hAnsi="David"/>
        </w:rPr>
      </w:pPr>
    </w:p>
    <w:p w:rsidR="00707B7E" w:rsidRDefault="009E4BB9" w:rsidP="00707B7E">
      <w:pPr>
        <w:numPr>
          <w:ilvl w:val="0"/>
          <w:numId w:val="3"/>
        </w:numPr>
        <w:tabs>
          <w:tab w:val="left" w:pos="509"/>
        </w:tabs>
        <w:spacing w:after="160" w:line="360" w:lineRule="auto"/>
        <w:contextualSpacing/>
        <w:jc w:val="both"/>
        <w:rPr>
          <w:rFonts w:ascii="David" w:hAnsi="David"/>
        </w:rPr>
      </w:pPr>
      <w:hyperlink r:id="rId18" w:history="1">
        <w:r w:rsidR="00707B7E" w:rsidRPr="002E5904">
          <w:rPr>
            <w:rtl/>
          </w:rPr>
          <w:t>תפ"ח (ב"ש) 44105-09-19</w:t>
        </w:r>
      </w:hyperlink>
      <w:r w:rsidR="00707B7E">
        <w:rPr>
          <w:rFonts w:ascii="David" w:hAnsi="David"/>
          <w:rtl/>
        </w:rPr>
        <w:t> </w:t>
      </w:r>
      <w:r w:rsidR="00707B7E">
        <w:rPr>
          <w:rFonts w:ascii="David" w:hAnsi="David"/>
          <w:b/>
          <w:bCs/>
          <w:rtl/>
        </w:rPr>
        <w:t>מדינת ישראל נ' סמורז'בסקי</w:t>
      </w:r>
      <w:r w:rsidR="00707B7E">
        <w:rPr>
          <w:rFonts w:ascii="David" w:hAnsi="David"/>
          <w:rtl/>
        </w:rPr>
        <w:t xml:space="preserve"> (19.12.2022): הנאשם הורשע, לאחר שמיעת ראיות, בעבירה של רצח באדישות, ונדון לעונש של 20 שנות מאסר. המנוח הגיע לקרוואן שבו התגורר הנאשם ודרש ממנו שיספק לו "נייס גאי". הנאשם סירב ודרש מהמנוח לעזוב. בשלב מסוים נטל הנאשם מוט ברזל שהיה בקרוואן, ובאמצעותו היכה את המנוח תחילה באזור </w:t>
      </w:r>
      <w:r w:rsidR="00707B7E">
        <w:rPr>
          <w:rFonts w:ascii="David" w:hAnsi="David"/>
          <w:rtl/>
        </w:rPr>
        <w:lastRenderedPageBreak/>
        <w:t>הכתף, ולאחר מכן היכה בעוצמה באמצעות המוט בפלג גופו העליון מספר פעמים, בראשו, בחזהו, בגבו ובידיו, והמשיך להכותו גם כאשר המנוח נפל ארצה. בית המשפט המחוזי קבע שמתחם העונש נע בין 18 ל-22 שנות מאסר. הנאשם היה ללא עבר פלילי, נעדר תמיכה משפחתית, והתמודד עם מורכבות משפחתית וכלכלית קשה. האחריות שלקח הנאשם על מעשיו הייתה חלקית בלבד.</w:t>
      </w:r>
    </w:p>
    <w:p w:rsidR="00707B7E" w:rsidRDefault="00707B7E" w:rsidP="00707B7E">
      <w:pPr>
        <w:tabs>
          <w:tab w:val="left" w:pos="509"/>
        </w:tabs>
        <w:spacing w:line="360" w:lineRule="auto"/>
        <w:ind w:left="509" w:hanging="425"/>
        <w:contextualSpacing/>
        <w:jc w:val="both"/>
        <w:rPr>
          <w:rFonts w:ascii="David" w:hAnsi="David"/>
        </w:rPr>
      </w:pPr>
    </w:p>
    <w:p w:rsidR="00707B7E" w:rsidRDefault="00707B7E" w:rsidP="00707B7E">
      <w:pPr>
        <w:numPr>
          <w:ilvl w:val="0"/>
          <w:numId w:val="3"/>
        </w:numPr>
        <w:tabs>
          <w:tab w:val="left" w:pos="509"/>
        </w:tabs>
        <w:spacing w:after="160" w:line="360" w:lineRule="auto"/>
        <w:contextualSpacing/>
        <w:jc w:val="both"/>
        <w:rPr>
          <w:rFonts w:ascii="David" w:hAnsi="David"/>
        </w:rPr>
      </w:pPr>
      <w:r>
        <w:rPr>
          <w:rFonts w:ascii="David" w:hAnsi="David"/>
          <w:rtl/>
        </w:rPr>
        <w:t xml:space="preserve">תפ"ח </w:t>
      </w:r>
      <w:r>
        <w:rPr>
          <w:rFonts w:ascii="David" w:hAnsi="David"/>
          <w:b/>
          <w:bCs/>
          <w:rtl/>
        </w:rPr>
        <w:t>אשטה</w:t>
      </w:r>
      <w:r>
        <w:rPr>
          <w:rFonts w:ascii="David" w:hAnsi="David"/>
          <w:rtl/>
        </w:rPr>
        <w:t xml:space="preserve">: </w:t>
      </w:r>
      <w:r>
        <w:rPr>
          <w:rtl/>
        </w:rPr>
        <w:t xml:space="preserve">הנאשם הורשע, לאחר שמיעת ראיות, ברצח באדישות, ונדון לעונש של 22 שנות מאסר. בין הנאשם למנוח היה סכסוך קודם. לפגישה בין השניים הגיע הנאשם כשהוא מחזיק סכין, וקרא למנוח בטון מאיים. המנוח התקרב לנאשם כשהוא אוחז בידו בשבר בקבוק, שאותו השליך לדרישת הנאשם. בהמשך, במהלך ויכוח בין השניים, דקר הנאשם (דקירה אחת) באמצעות הסכין את המנוח בצווארו, ונמלט מהמקום. </w:t>
      </w:r>
      <w:r>
        <w:rPr>
          <w:rFonts w:ascii="David" w:hAnsi="David"/>
          <w:rtl/>
        </w:rPr>
        <w:t xml:space="preserve">בית המשפט המחוזי קבע שמתחם העונש נע בין 17 ל-23 שנות מאסר. לחובת הנאשם היה עבר פלילי בעבירות אלימות, והרצח בוצע זמן קצר לאחר שהנאשם שוחרר ממאסר בגין עבירת נשק. יצוין כי דעת המיעוט סברה שיש להשית על הנאשם 24 שנות מאסר. </w:t>
      </w:r>
    </w:p>
    <w:p w:rsidR="00707B7E" w:rsidRDefault="00707B7E" w:rsidP="00707B7E">
      <w:pPr>
        <w:tabs>
          <w:tab w:val="left" w:pos="509"/>
        </w:tabs>
        <w:spacing w:line="360" w:lineRule="auto"/>
        <w:ind w:left="509" w:hanging="425"/>
        <w:contextualSpacing/>
        <w:rPr>
          <w:rFonts w:ascii="David" w:hAnsi="David"/>
        </w:rPr>
      </w:pPr>
    </w:p>
    <w:p w:rsidR="00707B7E" w:rsidRDefault="00707B7E" w:rsidP="00707B7E">
      <w:pPr>
        <w:tabs>
          <w:tab w:val="left" w:pos="509"/>
        </w:tabs>
        <w:spacing w:line="360" w:lineRule="auto"/>
        <w:ind w:left="509" w:hanging="425"/>
        <w:contextualSpacing/>
        <w:rPr>
          <w:rFonts w:ascii="David" w:hAnsi="David"/>
          <w:rtl/>
        </w:rPr>
      </w:pPr>
      <w:r>
        <w:rPr>
          <w:rFonts w:ascii="David" w:hAnsi="David"/>
          <w:u w:val="single"/>
          <w:rtl/>
        </w:rPr>
        <w:t>הנסיבות הקשורות בביצוע העבירה</w:t>
      </w:r>
      <w:r>
        <w:rPr>
          <w:rFonts w:ascii="David" w:hAnsi="David"/>
          <w:rtl/>
        </w:rPr>
        <w:t xml:space="preserve">: </w:t>
      </w:r>
    </w:p>
    <w:p w:rsidR="002E5904" w:rsidRDefault="002E5904" w:rsidP="00707B7E">
      <w:pPr>
        <w:tabs>
          <w:tab w:val="left" w:pos="509"/>
        </w:tabs>
        <w:spacing w:line="360" w:lineRule="auto"/>
        <w:ind w:left="509" w:hanging="425"/>
        <w:contextualSpacing/>
        <w:rPr>
          <w:rFonts w:ascii="David" w:hAnsi="David"/>
          <w:rtl/>
        </w:rPr>
      </w:pPr>
    </w:p>
    <w:p w:rsidR="00707B7E" w:rsidRDefault="00707B7E" w:rsidP="00707B7E">
      <w:pPr>
        <w:pStyle w:val="ab"/>
        <w:numPr>
          <w:ilvl w:val="0"/>
          <w:numId w:val="3"/>
        </w:numPr>
        <w:tabs>
          <w:tab w:val="left" w:pos="509"/>
        </w:tabs>
        <w:spacing w:line="360" w:lineRule="auto"/>
        <w:jc w:val="both"/>
        <w:rPr>
          <w:rFonts w:ascii="David" w:hAnsi="David" w:cs="David"/>
          <w:sz w:val="24"/>
          <w:szCs w:val="24"/>
          <w:rtl/>
        </w:rPr>
      </w:pPr>
      <w:r>
        <w:rPr>
          <w:rFonts w:ascii="David" w:hAnsi="David" w:cs="David"/>
          <w:sz w:val="24"/>
          <w:szCs w:val="24"/>
          <w:rtl/>
        </w:rPr>
        <w:t xml:space="preserve">כפי שפורט בהכרעת הדין, היום שבו התחוללה הטרגדיה בקניון ברמלה, שבו קופחו חייו של המנוח, גבר צעיר, נשוי לדקלה ואב לשלוש בנות, החל כיום שגרתי. המנוח, דקלה ושתיים מבנותיהן: האחת, באותה עת, כבת 9.5 שנים והשנייה תינוקת, הגיעו לקניון על מנת לרכוש ציוד לבית הספר. הנאשם, באותה עת כבן 74 שנים, הסיע את אשתו מוניקה לצורך בדיקות רפואיות. באותה עת היה מצבה הרפואי של מוניקה מורכב. בין היתר, כחודש וחצי עובר לאירוע עברה מוניקה ניתוח, לאחר שחלתה במחלה קשה. באותה עת הפצע של הניתוח היה עדיין פתוח וחבוש, ומוניקה עמדה לפני קבלת סדרת טיפולים רפואיים. באותה עת החזיק הנאשם אקדח ברישיון. ואולם, כפי שנקבע בהכרעת הדין, רישיון הנשק הושג על יסוד טענות כזב של הנאשם, אשר מסר לרשות המוסמכת פרטים שקריים על אודות מצבו הבריאותי. </w:t>
      </w:r>
    </w:p>
    <w:p w:rsidR="00707B7E" w:rsidRDefault="00707B7E" w:rsidP="00707B7E">
      <w:pPr>
        <w:numPr>
          <w:ilvl w:val="0"/>
          <w:numId w:val="3"/>
        </w:numPr>
        <w:tabs>
          <w:tab w:val="left" w:pos="509"/>
        </w:tabs>
        <w:spacing w:after="160" w:line="360" w:lineRule="auto"/>
        <w:contextualSpacing/>
        <w:jc w:val="both"/>
        <w:rPr>
          <w:rFonts w:ascii="David" w:hAnsi="David"/>
          <w:rtl/>
        </w:rPr>
      </w:pPr>
      <w:r>
        <w:rPr>
          <w:rFonts w:ascii="David" w:hAnsi="David"/>
          <w:rtl/>
        </w:rPr>
        <w:t>לאחר סיום הבדיקות הרפואיות הגיעו הנאשם ומוניקה לקניון לשתות קפה. למרבה הצער, ויכוח בין המנוח שיצא מרכבו למוניקה, הקשור לאופן שבו החנה הנאשם את רכבו באותה עת, התלהט והסלים עד התרחשות האסון הכבד.</w:t>
      </w:r>
    </w:p>
    <w:p w:rsidR="00707B7E" w:rsidRDefault="00707B7E" w:rsidP="00707B7E">
      <w:pPr>
        <w:pStyle w:val="ab"/>
        <w:numPr>
          <w:ilvl w:val="0"/>
          <w:numId w:val="3"/>
        </w:numPr>
        <w:tabs>
          <w:tab w:val="left" w:pos="509"/>
        </w:tabs>
        <w:spacing w:line="360" w:lineRule="auto"/>
        <w:jc w:val="both"/>
        <w:rPr>
          <w:rFonts w:ascii="David" w:hAnsi="David" w:cs="David"/>
          <w:sz w:val="24"/>
          <w:szCs w:val="24"/>
          <w:rtl/>
        </w:rPr>
      </w:pPr>
      <w:r>
        <w:rPr>
          <w:rFonts w:ascii="David" w:hAnsi="David" w:cs="David"/>
          <w:sz w:val="24"/>
          <w:szCs w:val="24"/>
          <w:rtl/>
        </w:rPr>
        <w:t xml:space="preserve">משהבחין הנאשם בהתלהטות הרוחות, ומתוך דאגה למוניקה על רקע מצבה הרפואי המורכב, ירד אף הוא מרכבו. הנאשם נטל עימו את תיקו, שבו היה נתון האקדח, שאותו הניח תחילה על גבי תא המטען של רכבו. לאחר שהמנוח הדף את מוניקה לאחור והיא נפלה סמוך לרכב הנאשם, פנה המנוח לעבר רכבו. באותה עת ניגש הנאשם לתא המטען של רכבו, נטל את התיק שלו, הוציא </w:t>
      </w:r>
      <w:r>
        <w:rPr>
          <w:rFonts w:ascii="David" w:hAnsi="David" w:cs="David"/>
          <w:sz w:val="24"/>
          <w:szCs w:val="24"/>
          <w:rtl/>
        </w:rPr>
        <w:lastRenderedPageBreak/>
        <w:t>מתוכו את אקדחו, דרך אותו, והתקרב לעבר המנוח שעמד ליד רכבו (של המנוח) ובידיו לא החזיק דבר. הנאשם ירה במנוח מטווח קצר ופגע בחלק העליון של הירך הימנית שלו. מוניקה והמנוח עצמו ניסו להניא את הנאשם מלהמשיך במעשיו. המנוח זעק לעבר הנאשם: "מה אתה יורה בי?", ואילו אשתו של הנאשם ביקשה ממנו לחדול ממעשיו. המנוח</w:t>
      </w:r>
      <w:r>
        <w:rPr>
          <w:rFonts w:ascii="David" w:hAnsi="David" w:cs="David"/>
          <w:sz w:val="24"/>
          <w:szCs w:val="24"/>
        </w:rPr>
        <w:t xml:space="preserve"> </w:t>
      </w:r>
      <w:r>
        <w:rPr>
          <w:rFonts w:ascii="David" w:hAnsi="David" w:cs="David"/>
          <w:sz w:val="24"/>
          <w:szCs w:val="24"/>
          <w:rtl/>
        </w:rPr>
        <w:t>הגיב</w:t>
      </w:r>
      <w:r>
        <w:rPr>
          <w:rFonts w:ascii="David" w:hAnsi="David" w:cs="David"/>
          <w:sz w:val="24"/>
          <w:szCs w:val="24"/>
        </w:rPr>
        <w:t xml:space="preserve"> </w:t>
      </w:r>
      <w:r>
        <w:rPr>
          <w:rFonts w:ascii="David" w:hAnsi="David" w:cs="David"/>
          <w:sz w:val="24"/>
          <w:szCs w:val="24"/>
          <w:rtl/>
        </w:rPr>
        <w:t>לירי</w:t>
      </w:r>
      <w:r>
        <w:rPr>
          <w:rFonts w:ascii="David" w:hAnsi="David" w:cs="David"/>
          <w:sz w:val="24"/>
          <w:szCs w:val="24"/>
        </w:rPr>
        <w:t xml:space="preserve"> </w:t>
      </w:r>
      <w:r>
        <w:rPr>
          <w:rFonts w:ascii="David" w:hAnsi="David" w:cs="David"/>
          <w:sz w:val="24"/>
          <w:szCs w:val="24"/>
          <w:rtl/>
        </w:rPr>
        <w:t>הראשון</w:t>
      </w:r>
      <w:r>
        <w:rPr>
          <w:rFonts w:ascii="David" w:hAnsi="David" w:cs="David"/>
          <w:sz w:val="24"/>
          <w:szCs w:val="24"/>
        </w:rPr>
        <w:t xml:space="preserve"> </w:t>
      </w:r>
      <w:r>
        <w:rPr>
          <w:rFonts w:ascii="David" w:hAnsi="David" w:cs="David"/>
          <w:sz w:val="24"/>
          <w:szCs w:val="24"/>
          <w:rtl/>
        </w:rPr>
        <w:t>בביטוי תחושת כאב: היה "קפוא</w:t>
      </w:r>
      <w:r>
        <w:rPr>
          <w:rFonts w:ascii="David" w:hAnsi="David" w:cs="David"/>
          <w:sz w:val="24"/>
          <w:szCs w:val="24"/>
        </w:rPr>
        <w:t xml:space="preserve"> "</w:t>
      </w:r>
      <w:r>
        <w:rPr>
          <w:rFonts w:ascii="David" w:hAnsi="David" w:cs="David"/>
          <w:sz w:val="24"/>
          <w:szCs w:val="24"/>
          <w:rtl/>
        </w:rPr>
        <w:t>ונגע</w:t>
      </w:r>
      <w:r>
        <w:rPr>
          <w:rFonts w:ascii="David" w:hAnsi="David" w:cs="David"/>
          <w:sz w:val="24"/>
          <w:szCs w:val="24"/>
        </w:rPr>
        <w:t xml:space="preserve"> </w:t>
      </w:r>
      <w:r>
        <w:rPr>
          <w:rFonts w:ascii="David" w:hAnsi="David" w:cs="David"/>
          <w:sz w:val="24"/>
          <w:szCs w:val="24"/>
          <w:rtl/>
        </w:rPr>
        <w:t xml:space="preserve">בירך הכואבת שלו, וכן "קצת נפל" (כלשונו של הנאשם). ואולם, בחלוף שניות ספורות, כיוון הנאשם את האקדח לפלג גופו העליון של המנוח, </w:t>
      </w:r>
      <w:r>
        <w:rPr>
          <w:rFonts w:ascii="David" w:hAnsi="David" w:cs="David"/>
          <w:sz w:val="24"/>
          <w:szCs w:val="24"/>
          <w:u w:val="single"/>
          <w:rtl/>
        </w:rPr>
        <w:t>ולנגד עיניי אשתו של המנוח דקלה ושתי בנותיו הקטינות</w:t>
      </w:r>
      <w:r>
        <w:rPr>
          <w:rFonts w:ascii="David" w:hAnsi="David" w:cs="David"/>
          <w:sz w:val="24"/>
          <w:szCs w:val="24"/>
          <w:rtl/>
        </w:rPr>
        <w:t xml:space="preserve">, ירה ירייה נוספת, שפגעה בחזהו של המנוח ובריאותיו ופילחה את ליבו. כתוצאה מהירי התמוטט המנוח, וכעבור זמן קצר נקבע מותו. יצוין כי השימוש בנשק חם נעשה בחניון שהוא מקום ציבורי, על כל המשתמע מכך ביחס לסיכון שנשקף לבאי החניון. </w:t>
      </w:r>
    </w:p>
    <w:p w:rsidR="00707B7E" w:rsidRDefault="00707B7E" w:rsidP="00707B7E">
      <w:pPr>
        <w:tabs>
          <w:tab w:val="left" w:pos="509"/>
        </w:tabs>
        <w:spacing w:line="360" w:lineRule="auto"/>
        <w:ind w:left="509"/>
        <w:contextualSpacing/>
        <w:jc w:val="both"/>
        <w:rPr>
          <w:rFonts w:ascii="David" w:hAnsi="David"/>
          <w:u w:val="single"/>
          <w:rtl/>
        </w:rPr>
      </w:pPr>
      <w:r>
        <w:rPr>
          <w:rFonts w:ascii="David" w:hAnsi="David"/>
          <w:rtl/>
        </w:rPr>
        <w:t xml:space="preserve">כאמור, </w:t>
      </w:r>
      <w:r>
        <w:rPr>
          <w:rFonts w:ascii="David" w:hAnsi="David"/>
          <w:u w:val="single"/>
          <w:rtl/>
        </w:rPr>
        <w:t>אירוע הרצח החל בוויכוח מקרי וסתמי בין אשת הנאשם למנוח, והסתיים בתגובה ספונטנית של הנאשם אשר ירה במנוח. ואולם, לנאשם הייתה אפשרות לכלכל את צעדיו בטרם גרם למותו של המנוח</w:t>
      </w:r>
      <w:r>
        <w:rPr>
          <w:rFonts w:ascii="David" w:hAnsi="David"/>
          <w:rtl/>
        </w:rPr>
        <w:t>:</w:t>
      </w:r>
      <w:r>
        <w:rPr>
          <w:rFonts w:ascii="David" w:hAnsi="David"/>
          <w:u w:val="single"/>
          <w:rtl/>
        </w:rPr>
        <w:t xml:space="preserve"> </w:t>
      </w:r>
    </w:p>
    <w:p w:rsidR="00707B7E" w:rsidRDefault="00707B7E" w:rsidP="00707B7E">
      <w:pPr>
        <w:tabs>
          <w:tab w:val="left" w:pos="509"/>
        </w:tabs>
        <w:spacing w:line="360" w:lineRule="auto"/>
        <w:ind w:left="509"/>
        <w:contextualSpacing/>
        <w:jc w:val="both"/>
        <w:rPr>
          <w:rFonts w:ascii="David" w:hAnsi="David"/>
          <w:rtl/>
        </w:rPr>
      </w:pPr>
      <w:r>
        <w:rPr>
          <w:rFonts w:ascii="David" w:hAnsi="David"/>
          <w:rtl/>
        </w:rPr>
        <w:t xml:space="preserve">א. חלפו שניות ארוכות בין חזרת הנאשם לרכב ונטילת הנשק שהיה על גבי תא המטען עד חזרתו ללב הזירה והירי במנוח. באותה עת, מוניקה הייתה שרועה ליד רכב הנאשם, והמנוח כבר היה בסמוך לרכבו. במבחן הזמן והנסיבות, הייתה לנאשם הזדמנות להבין כי מוניקה לא הייתה נתונה בסכנה ולשקול דרכי פעולה אחרות. </w:t>
      </w:r>
    </w:p>
    <w:p w:rsidR="00707B7E" w:rsidRDefault="00707B7E" w:rsidP="00707B7E">
      <w:pPr>
        <w:tabs>
          <w:tab w:val="left" w:pos="509"/>
        </w:tabs>
        <w:spacing w:line="360" w:lineRule="auto"/>
        <w:ind w:left="509"/>
        <w:contextualSpacing/>
        <w:jc w:val="both"/>
        <w:rPr>
          <w:rFonts w:ascii="David" w:hAnsi="David"/>
          <w:highlight w:val="yellow"/>
          <w:rtl/>
        </w:rPr>
      </w:pPr>
      <w:r>
        <w:rPr>
          <w:rFonts w:ascii="David" w:hAnsi="David"/>
          <w:highlight w:val="yellow"/>
          <w:rtl/>
        </w:rPr>
        <w:t xml:space="preserve"> </w:t>
      </w:r>
    </w:p>
    <w:p w:rsidR="00707B7E" w:rsidRDefault="00707B7E" w:rsidP="00707B7E">
      <w:pPr>
        <w:tabs>
          <w:tab w:val="left" w:pos="509"/>
        </w:tabs>
        <w:spacing w:line="360" w:lineRule="auto"/>
        <w:ind w:left="509"/>
        <w:contextualSpacing/>
        <w:jc w:val="both"/>
        <w:rPr>
          <w:rFonts w:ascii="David" w:hAnsi="David"/>
          <w:rtl/>
        </w:rPr>
      </w:pPr>
      <w:r>
        <w:rPr>
          <w:rFonts w:ascii="David" w:hAnsi="David"/>
          <w:rtl/>
        </w:rPr>
        <w:t>ב. בהמשך, בין שתי היריות, הייתה לנאשם שהות נוספת לעצור: הירייה הראשונה במנוח נורתה על ידי הנאשם מטווח קצר לעבר הירך של המנוח וגרמה לפציעתו בירך. באותו השלב הייתה לנאשם הזדמנות לחדול ממעשיו, ואולם, בחלוף שניות בודדות, ירה פעם נוספת ישירות ומטווח קצר בפלג גופו העליון של המנוח.</w:t>
      </w:r>
    </w:p>
    <w:p w:rsidR="00707B7E" w:rsidRDefault="00707B7E" w:rsidP="00707B7E">
      <w:pPr>
        <w:tabs>
          <w:tab w:val="left" w:pos="509"/>
        </w:tabs>
        <w:spacing w:line="360" w:lineRule="auto"/>
        <w:ind w:left="509"/>
        <w:contextualSpacing/>
        <w:jc w:val="both"/>
        <w:rPr>
          <w:rFonts w:ascii="David" w:hAnsi="David"/>
          <w:rtl/>
        </w:rPr>
      </w:pPr>
    </w:p>
    <w:p w:rsidR="00707B7E" w:rsidRDefault="00707B7E" w:rsidP="00707B7E">
      <w:pPr>
        <w:tabs>
          <w:tab w:val="left" w:pos="509"/>
        </w:tabs>
        <w:spacing w:line="360" w:lineRule="auto"/>
        <w:ind w:left="509"/>
        <w:contextualSpacing/>
        <w:jc w:val="both"/>
        <w:rPr>
          <w:rFonts w:ascii="David" w:hAnsi="David"/>
          <w:rtl/>
        </w:rPr>
      </w:pPr>
      <w:r>
        <w:rPr>
          <w:rFonts w:ascii="David" w:hAnsi="David"/>
          <w:rtl/>
        </w:rPr>
        <w:t>ג. במהלך האירוע לא שעה הנאשם לסובבים אותו שניסו להניא אותו ממעשהו. המנוח זעק לעבר הנאשם: "</w:t>
      </w:r>
      <w:r>
        <w:rPr>
          <w:rFonts w:ascii="David" w:hAnsi="David"/>
          <w:b/>
          <w:bCs/>
          <w:rtl/>
        </w:rPr>
        <w:t>מה אתה יורה בי</w:t>
      </w:r>
      <w:r>
        <w:rPr>
          <w:rFonts w:ascii="David" w:hAnsi="David"/>
          <w:rtl/>
        </w:rPr>
        <w:t xml:space="preserve">?", ואילו אשתו של הנאשם ביקשה ממנו לחדול ממעשיו, אך לא היה בכך כדי למנוע את האסון הכבד. </w:t>
      </w:r>
    </w:p>
    <w:p w:rsidR="00707B7E" w:rsidRDefault="00707B7E" w:rsidP="00707B7E">
      <w:pPr>
        <w:tabs>
          <w:tab w:val="left" w:pos="509"/>
        </w:tabs>
        <w:spacing w:line="360" w:lineRule="auto"/>
        <w:ind w:left="509"/>
        <w:contextualSpacing/>
        <w:jc w:val="both"/>
        <w:rPr>
          <w:rFonts w:ascii="David" w:hAnsi="David"/>
          <w:rtl/>
        </w:rPr>
      </w:pPr>
    </w:p>
    <w:p w:rsidR="00707B7E" w:rsidRDefault="00707B7E" w:rsidP="00707B7E">
      <w:pPr>
        <w:tabs>
          <w:tab w:val="left" w:pos="509"/>
        </w:tabs>
        <w:spacing w:line="360" w:lineRule="auto"/>
        <w:ind w:left="509"/>
        <w:contextualSpacing/>
        <w:jc w:val="both"/>
        <w:rPr>
          <w:rFonts w:ascii="David" w:hAnsi="David"/>
          <w:rtl/>
        </w:rPr>
      </w:pPr>
      <w:r>
        <w:rPr>
          <w:rFonts w:ascii="David" w:hAnsi="David"/>
          <w:rtl/>
        </w:rPr>
        <w:t xml:space="preserve">בנסיבות המפורטות לעיל, אנו דוחים את טענת ההגנה שלפיה פעל הנאשם מתוך "קרבה לסייג" של הגנה עצמית. </w:t>
      </w:r>
    </w:p>
    <w:p w:rsidR="00707B7E" w:rsidRDefault="00707B7E" w:rsidP="00707B7E">
      <w:pPr>
        <w:tabs>
          <w:tab w:val="left" w:pos="509"/>
        </w:tabs>
        <w:spacing w:line="360" w:lineRule="auto"/>
        <w:ind w:left="509"/>
        <w:contextualSpacing/>
        <w:jc w:val="both"/>
        <w:rPr>
          <w:rFonts w:ascii="David" w:hAnsi="David"/>
          <w:rtl/>
        </w:rPr>
      </w:pPr>
      <w:r>
        <w:rPr>
          <w:rFonts w:ascii="David" w:hAnsi="David"/>
          <w:rtl/>
        </w:rPr>
        <w:t>אשר לטענת ההגנה העצמית הרי שזו נטענה אך ורק לגבי השלב הראשון של האירוע: הירי בירך של המנוח. בהתבסס על הנסיבות המפורטות בהכרעת הדין שאת עיקריהן פירטנו לעיל, נדחתה טענת ההגנה העצמית מכל וכל. מהנסיבות המפורטות עולה כי אין כל בסיס לטענה של הקרבה לסייג.</w:t>
      </w:r>
    </w:p>
    <w:p w:rsidR="00707B7E" w:rsidRDefault="00707B7E" w:rsidP="00707B7E">
      <w:pPr>
        <w:tabs>
          <w:tab w:val="left" w:pos="509"/>
        </w:tabs>
        <w:spacing w:line="360" w:lineRule="auto"/>
        <w:ind w:left="509"/>
        <w:contextualSpacing/>
        <w:jc w:val="both"/>
        <w:rPr>
          <w:rFonts w:ascii="David" w:hAnsi="David"/>
          <w:rtl/>
        </w:rPr>
      </w:pPr>
      <w:r>
        <w:rPr>
          <w:rFonts w:ascii="David" w:hAnsi="David"/>
          <w:rtl/>
        </w:rPr>
        <w:lastRenderedPageBreak/>
        <w:t>טענת האוטומטיזם נטענה אך ורק לגבי הירי בפלג גופו העליון של המנוח. בהכרעת הדין דחינו גם טענה זו מכל וכל.</w:t>
      </w:r>
    </w:p>
    <w:p w:rsidR="00707B7E" w:rsidRDefault="00707B7E" w:rsidP="00707B7E">
      <w:pPr>
        <w:tabs>
          <w:tab w:val="left" w:pos="509"/>
        </w:tabs>
        <w:spacing w:line="360" w:lineRule="auto"/>
        <w:ind w:left="509" w:hanging="425"/>
        <w:contextualSpacing/>
        <w:jc w:val="both"/>
        <w:rPr>
          <w:rFonts w:ascii="David" w:hAnsi="David"/>
          <w:highlight w:val="yellow"/>
          <w:rtl/>
        </w:rPr>
      </w:pPr>
    </w:p>
    <w:p w:rsidR="00707B7E" w:rsidRDefault="00707B7E" w:rsidP="00707B7E">
      <w:pPr>
        <w:tabs>
          <w:tab w:val="left" w:pos="509"/>
        </w:tabs>
        <w:spacing w:line="360" w:lineRule="auto"/>
        <w:ind w:left="509"/>
        <w:contextualSpacing/>
        <w:jc w:val="both"/>
        <w:rPr>
          <w:rFonts w:ascii="David" w:hAnsi="David"/>
          <w:rtl/>
        </w:rPr>
      </w:pPr>
      <w:r>
        <w:rPr>
          <w:rFonts w:ascii="David" w:hAnsi="David"/>
          <w:rtl/>
        </w:rPr>
        <w:t xml:space="preserve">לגבי היסוד הנפשי של העבירה קבענו כי בשניות הקריטיות שחלפו בין שתי היריות, </w:t>
      </w:r>
      <w:r>
        <w:rPr>
          <w:rFonts w:ascii="David" w:hAnsi="David"/>
          <w:u w:val="single"/>
          <w:rtl/>
        </w:rPr>
        <w:t>חש הנאשם דאגה כנה וחרדה של ממש לשלומה של אשתו</w:t>
      </w:r>
      <w:r>
        <w:rPr>
          <w:rFonts w:ascii="David" w:hAnsi="David"/>
          <w:rtl/>
        </w:rPr>
        <w:t>, חוסר אונים וזעם. במצבו של הנאשם, ועל רקע הנסיבות שאליהן נקלע הנאשם ומצבו הנפשי/רגשי, הוא לא נתן לעצמו דין וחשבון על תוצאות מעשיו, ו</w:t>
      </w:r>
      <w:r>
        <w:rPr>
          <w:rFonts w:ascii="David" w:hAnsi="David"/>
          <w:u w:val="single"/>
          <w:rtl/>
        </w:rPr>
        <w:t>פעל מתוך אדישות ברף הגבוה כלפי התוצאה</w:t>
      </w:r>
      <w:r>
        <w:rPr>
          <w:rFonts w:ascii="David" w:hAnsi="David"/>
          <w:rtl/>
        </w:rPr>
        <w:t xml:space="preserve">, ולא מתוך גיבוש רצון או חפץ במותו של המנוח. </w:t>
      </w:r>
    </w:p>
    <w:p w:rsidR="00707B7E" w:rsidRDefault="00707B7E" w:rsidP="00707B7E">
      <w:pPr>
        <w:tabs>
          <w:tab w:val="left" w:pos="509"/>
        </w:tabs>
        <w:spacing w:line="360" w:lineRule="auto"/>
        <w:ind w:left="509"/>
        <w:contextualSpacing/>
        <w:jc w:val="both"/>
        <w:rPr>
          <w:rFonts w:ascii="David" w:hAnsi="David"/>
          <w:rtl/>
        </w:rPr>
      </w:pPr>
    </w:p>
    <w:p w:rsidR="00707B7E" w:rsidRDefault="00707B7E" w:rsidP="00707B7E">
      <w:pPr>
        <w:tabs>
          <w:tab w:val="left" w:pos="509"/>
        </w:tabs>
        <w:spacing w:line="360" w:lineRule="auto"/>
        <w:ind w:left="509"/>
        <w:contextualSpacing/>
        <w:jc w:val="both"/>
        <w:rPr>
          <w:rFonts w:ascii="David" w:hAnsi="David"/>
          <w:rtl/>
        </w:rPr>
      </w:pPr>
      <w:r>
        <w:rPr>
          <w:rFonts w:ascii="David" w:hAnsi="David"/>
          <w:rtl/>
        </w:rPr>
        <w:t>לא מיותר לציין כי</w:t>
      </w:r>
      <w:r>
        <w:rPr>
          <w:rFonts w:ascii="David" w:hAnsi="David"/>
        </w:rPr>
        <w:t xml:space="preserve"> </w:t>
      </w:r>
      <w:r>
        <w:rPr>
          <w:rFonts w:ascii="David" w:hAnsi="David"/>
          <w:rtl/>
        </w:rPr>
        <w:t xml:space="preserve">אופן קבלת הרישיון להחזקת האקדח על ידי הנאשם, מלמד אף הוא על הזלזול שלו ברשויות החוק. אילו היה הנאשם מדווח/מעדכן את הרשויות על-אודות מצבו הרפואי, יתכן שהטרגדיה שהתרחשה הייתה נמנעת. </w:t>
      </w:r>
    </w:p>
    <w:p w:rsidR="00707B7E" w:rsidRDefault="00707B7E" w:rsidP="00707B7E">
      <w:pPr>
        <w:tabs>
          <w:tab w:val="left" w:pos="509"/>
        </w:tabs>
        <w:spacing w:line="360" w:lineRule="auto"/>
        <w:ind w:left="509"/>
        <w:contextualSpacing/>
        <w:jc w:val="both"/>
        <w:rPr>
          <w:rFonts w:ascii="David" w:hAnsi="David"/>
          <w:rtl/>
        </w:rPr>
      </w:pPr>
    </w:p>
    <w:p w:rsidR="00707B7E" w:rsidRDefault="00707B7E" w:rsidP="00707B7E">
      <w:pPr>
        <w:numPr>
          <w:ilvl w:val="0"/>
          <w:numId w:val="3"/>
        </w:numPr>
        <w:tabs>
          <w:tab w:val="left" w:pos="509"/>
        </w:tabs>
        <w:spacing w:after="160" w:line="360" w:lineRule="auto"/>
        <w:contextualSpacing/>
        <w:jc w:val="both"/>
        <w:rPr>
          <w:rFonts w:ascii="David" w:hAnsi="David"/>
          <w:rtl/>
        </w:rPr>
      </w:pPr>
      <w:r>
        <w:rPr>
          <w:rFonts w:ascii="David" w:hAnsi="David"/>
          <w:u w:val="single"/>
          <w:rtl/>
        </w:rPr>
        <w:t>הנזק שנגרם לנפגעי העבירה</w:t>
      </w:r>
      <w:r>
        <w:rPr>
          <w:rFonts w:ascii="David" w:hAnsi="David"/>
          <w:rtl/>
        </w:rPr>
        <w:t>: מעשהו החמור של הנאשם הביא לקיפוח חייו של גבר צעיר שכל עתידו היה לפניו, ובאבחה אחת הפך את דקלה לאלמנה צעירה, אם לשלוש קטינות שלשתיים מהן צרכים מיוחדים. על שלוש הקטינות נגזר אפוא לגדול יתומות מאב. כך גם איבדו אמו של המנוח ואחותו את המנוח היקר לליבן. מתסקירי נפגעי העבירה עולה תמונת נזק קשה שנגרם לבני המשפחה במישורים רבים.</w:t>
      </w:r>
    </w:p>
    <w:p w:rsidR="00707B7E" w:rsidRDefault="00707B7E" w:rsidP="00707B7E">
      <w:pPr>
        <w:pStyle w:val="ab"/>
        <w:numPr>
          <w:ilvl w:val="0"/>
          <w:numId w:val="3"/>
        </w:numPr>
        <w:spacing w:line="360" w:lineRule="auto"/>
        <w:jc w:val="both"/>
        <w:rPr>
          <w:rFonts w:ascii="David" w:hAnsi="David" w:cs="David"/>
          <w:sz w:val="24"/>
          <w:szCs w:val="24"/>
        </w:rPr>
      </w:pPr>
      <w:r>
        <w:rPr>
          <w:rFonts w:ascii="David" w:hAnsi="David" w:cs="David"/>
          <w:sz w:val="24"/>
          <w:szCs w:val="24"/>
          <w:rtl/>
        </w:rPr>
        <w:t>האלמנה והבנות הקטינות: הרצח התרחש לנגד עיניהן של דקלה ושל הבת י' שהייתה כבת 9.5 שנים, נסיבה שיש בה כדי להשליך על מצבן הנפשי של האם ובתה. יצוין כי הבשורה המרה שהמנוח לא שרד, גרמה לדקלה ול-י' תחושת שבר קשה (ר' התסקיר המתייחס למסירת הבשורה לקטינה על ידי דקלה). מעבר לכך מתוארת בתסקיר תחושת האובדן הקשה של בני המשפחה: לאורך תקופה חשה דקלה כמי שהקרקע נשמטה מתחת לרגליה. בהיבט הרגשי היא ובנותיה איבדו בעל ואב תומך. בהיבטים נוספים: אובדן השיתוף בנשיאה במטלות הבית ובמיוחד הטיפול בבנות שלהן צרכים מיוחדים, וכן אובדן מקור הפרנסה.</w:t>
      </w:r>
    </w:p>
    <w:p w:rsidR="00707B7E" w:rsidRDefault="00707B7E" w:rsidP="00707B7E">
      <w:pPr>
        <w:pStyle w:val="ab"/>
        <w:spacing w:line="360" w:lineRule="auto"/>
        <w:ind w:left="502"/>
        <w:jc w:val="both"/>
        <w:rPr>
          <w:rFonts w:ascii="David" w:hAnsi="David" w:cs="David"/>
          <w:sz w:val="24"/>
          <w:szCs w:val="24"/>
          <w:rtl/>
        </w:rPr>
      </w:pPr>
      <w:r>
        <w:rPr>
          <w:rFonts w:ascii="David" w:hAnsi="David" w:cs="David"/>
          <w:sz w:val="24"/>
          <w:szCs w:val="24"/>
          <w:rtl/>
        </w:rPr>
        <w:t>יודגש כי חרף השבר הקשה שחוותה דקלה, היא אזרה כוחות ובחרה בחיים, ואין לנו אלא לחזקה בכך.</w:t>
      </w:r>
    </w:p>
    <w:p w:rsidR="00707B7E" w:rsidRDefault="00707B7E" w:rsidP="00707B7E">
      <w:pPr>
        <w:pStyle w:val="ab"/>
        <w:spacing w:line="360" w:lineRule="auto"/>
        <w:ind w:left="502"/>
        <w:jc w:val="both"/>
        <w:rPr>
          <w:rFonts w:ascii="David" w:hAnsi="David" w:cs="David"/>
          <w:sz w:val="24"/>
          <w:szCs w:val="24"/>
          <w:highlight w:val="yellow"/>
          <w:rtl/>
        </w:rPr>
      </w:pPr>
    </w:p>
    <w:p w:rsidR="00707B7E" w:rsidRDefault="00707B7E" w:rsidP="00707B7E">
      <w:pPr>
        <w:pStyle w:val="ab"/>
        <w:numPr>
          <w:ilvl w:val="0"/>
          <w:numId w:val="3"/>
        </w:numPr>
        <w:spacing w:line="360" w:lineRule="auto"/>
        <w:jc w:val="both"/>
        <w:rPr>
          <w:rFonts w:ascii="David" w:hAnsi="David" w:cs="David"/>
          <w:sz w:val="24"/>
          <w:szCs w:val="24"/>
          <w:rtl/>
        </w:rPr>
      </w:pPr>
      <w:r>
        <w:rPr>
          <w:rFonts w:ascii="David" w:hAnsi="David" w:cs="David"/>
          <w:sz w:val="24"/>
          <w:szCs w:val="24"/>
          <w:rtl/>
        </w:rPr>
        <w:t>אשר לקטינה י': י' הייתה קשורה מאוד למנוח. את הירצחו של אביה מתארת י' כנקודת שבר המלווה אותה עד היום. י' איבדה את שמחת החיים ומצבה הרגשי קשה ומדאיג (ר' ע' 5-4 לתסקיר והדברים שהעלתה י' על הכתב).</w:t>
      </w:r>
    </w:p>
    <w:p w:rsidR="00707B7E" w:rsidRDefault="00707B7E" w:rsidP="00707B7E">
      <w:pPr>
        <w:pStyle w:val="ab"/>
        <w:spacing w:line="360" w:lineRule="auto"/>
        <w:ind w:left="502"/>
        <w:jc w:val="both"/>
        <w:rPr>
          <w:rFonts w:ascii="David" w:hAnsi="David" w:cs="David"/>
          <w:sz w:val="24"/>
          <w:szCs w:val="24"/>
          <w:highlight w:val="yellow"/>
          <w:rtl/>
        </w:rPr>
      </w:pPr>
    </w:p>
    <w:p w:rsidR="00D9162C" w:rsidRDefault="00D9162C" w:rsidP="00707B7E">
      <w:pPr>
        <w:pStyle w:val="ab"/>
        <w:spacing w:line="360" w:lineRule="auto"/>
        <w:ind w:left="502"/>
        <w:jc w:val="both"/>
        <w:rPr>
          <w:rFonts w:ascii="David" w:hAnsi="David" w:cs="David"/>
          <w:sz w:val="24"/>
          <w:szCs w:val="24"/>
          <w:highlight w:val="yellow"/>
          <w:rtl/>
        </w:rPr>
      </w:pPr>
    </w:p>
    <w:p w:rsidR="00707B7E" w:rsidRDefault="00707B7E" w:rsidP="00707B7E">
      <w:pPr>
        <w:pStyle w:val="ab"/>
        <w:numPr>
          <w:ilvl w:val="0"/>
          <w:numId w:val="3"/>
        </w:numPr>
        <w:spacing w:line="360" w:lineRule="auto"/>
        <w:jc w:val="both"/>
        <w:rPr>
          <w:rFonts w:ascii="David" w:hAnsi="David" w:cs="David"/>
          <w:sz w:val="24"/>
          <w:szCs w:val="24"/>
          <w:rtl/>
        </w:rPr>
      </w:pPr>
      <w:r>
        <w:rPr>
          <w:rFonts w:ascii="David" w:hAnsi="David" w:cs="David"/>
          <w:sz w:val="24"/>
          <w:szCs w:val="24"/>
          <w:rtl/>
        </w:rPr>
        <w:lastRenderedPageBreak/>
        <w:t>אמו של המנוח ואחותו: כפי שעולה מתסקיר נפגעי העבירה, אביו של המנוח נפטר לפני כשנה על רקע הידרדרות במצבו הבריאותי לאחר אובדן בנו. האם והאחות חוו אובדן קשה. מצבה הבריאותי והרגשי של האם קשה, עד כדי תחושת ייאוש ואובדן משמעות החיים. מערכת היחסים בין המנוח ובין אחותו הייתה קרובה מאוד, ובהתאם תחושת האובדן. לכך יש להוסיף את ההתמודדות של האחות עם מצבם של הוריה (כיום עם מצבה של האם). הנזק מוצא את ביטויו גם בדינמיקה המשפחתית, במובן זה שהקשר ההדוק והחיובי בין בני המשפחה נפגע אף הוא.</w:t>
      </w:r>
    </w:p>
    <w:p w:rsidR="00707B7E" w:rsidRDefault="00707B7E" w:rsidP="00707B7E">
      <w:pPr>
        <w:pStyle w:val="ab"/>
        <w:rPr>
          <w:rFonts w:ascii="David" w:hAnsi="David" w:cs="David"/>
          <w:sz w:val="24"/>
          <w:szCs w:val="24"/>
        </w:rPr>
      </w:pPr>
    </w:p>
    <w:p w:rsidR="00707B7E" w:rsidRDefault="00707B7E" w:rsidP="00707B7E">
      <w:pPr>
        <w:tabs>
          <w:tab w:val="left" w:pos="509"/>
        </w:tabs>
        <w:spacing w:line="360" w:lineRule="auto"/>
        <w:ind w:left="509" w:hanging="425"/>
        <w:contextualSpacing/>
        <w:rPr>
          <w:rFonts w:ascii="David" w:hAnsi="David"/>
          <w:u w:val="single"/>
          <w:rtl/>
        </w:rPr>
      </w:pPr>
      <w:r>
        <w:rPr>
          <w:rFonts w:ascii="David" w:hAnsi="David"/>
          <w:u w:val="single"/>
          <w:rtl/>
        </w:rPr>
        <w:t>קביעת מתחם העונש:</w:t>
      </w:r>
    </w:p>
    <w:p w:rsidR="00707B7E" w:rsidRDefault="00707B7E" w:rsidP="00707B7E">
      <w:pPr>
        <w:tabs>
          <w:tab w:val="left" w:pos="509"/>
        </w:tabs>
        <w:spacing w:line="360" w:lineRule="auto"/>
        <w:ind w:left="509" w:hanging="425"/>
        <w:contextualSpacing/>
        <w:rPr>
          <w:rFonts w:ascii="David" w:hAnsi="David"/>
          <w:u w:val="single"/>
          <w:rtl/>
        </w:rPr>
      </w:pPr>
    </w:p>
    <w:p w:rsidR="00707B7E" w:rsidRDefault="00707B7E" w:rsidP="00707B7E">
      <w:pPr>
        <w:numPr>
          <w:ilvl w:val="0"/>
          <w:numId w:val="3"/>
        </w:numPr>
        <w:tabs>
          <w:tab w:val="left" w:pos="509"/>
        </w:tabs>
        <w:spacing w:after="160" w:line="360" w:lineRule="auto"/>
        <w:contextualSpacing/>
        <w:jc w:val="both"/>
        <w:rPr>
          <w:rFonts w:ascii="David" w:hAnsi="David"/>
        </w:rPr>
      </w:pPr>
      <w:r>
        <w:rPr>
          <w:rFonts w:ascii="David" w:hAnsi="David"/>
          <w:rtl/>
        </w:rPr>
        <w:t xml:space="preserve">בקביעת מתחם העונש שיווינו לנגד עינינו את עקרון ההלימה בענישה, הפגיעה בערך המוגן, מדיניות הענישה בפסיקה, וכן נסיבות ביצוע העבירה. </w:t>
      </w:r>
    </w:p>
    <w:p w:rsidR="00707B7E" w:rsidRDefault="00707B7E" w:rsidP="00707B7E">
      <w:pPr>
        <w:pStyle w:val="ab"/>
        <w:numPr>
          <w:ilvl w:val="0"/>
          <w:numId w:val="3"/>
        </w:numPr>
        <w:spacing w:line="360" w:lineRule="auto"/>
        <w:jc w:val="both"/>
        <w:rPr>
          <w:rFonts w:ascii="David" w:hAnsi="David" w:cs="David"/>
          <w:sz w:val="24"/>
          <w:szCs w:val="24"/>
        </w:rPr>
      </w:pPr>
      <w:r>
        <w:rPr>
          <w:rFonts w:ascii="David" w:hAnsi="David" w:cs="David"/>
          <w:sz w:val="24"/>
          <w:szCs w:val="24"/>
          <w:rtl/>
        </w:rPr>
        <w:t xml:space="preserve">בפרמטר של נסיבות ביצוע העבירה, נתנו את דעתנו לכך שמצד אחד, הנאשם ירה שתי יריות מנשק חם מטווח קצר, שאחת מהן הייתה הירייה הקטלנית לפלג גופו העליון של המנוח, עם יסוד נפשי של אדישות לתוצאות מעשיו ברף הגבוה. מצד שני, האירוע בכללותו היה ספונטני (להבדיל מאירוע מתוכנן מראש על רקע עברייני) ובמהלכו היה הנאשם נתון בחרדה למצבה של אשתו, שגילה מבוגר ומצבה הרפואי מורכב, בנסיבות שבהן נהדפה על ידי המנוח ונפלה ארצה. </w:t>
      </w:r>
    </w:p>
    <w:p w:rsidR="00707B7E" w:rsidRDefault="00707B7E" w:rsidP="00707B7E">
      <w:pPr>
        <w:pStyle w:val="ab"/>
        <w:spacing w:line="360" w:lineRule="auto"/>
        <w:ind w:left="502"/>
        <w:jc w:val="both"/>
        <w:rPr>
          <w:rFonts w:ascii="David" w:hAnsi="David" w:cs="David"/>
          <w:sz w:val="24"/>
          <w:szCs w:val="24"/>
        </w:rPr>
      </w:pPr>
    </w:p>
    <w:p w:rsidR="00707B7E" w:rsidRDefault="00707B7E" w:rsidP="00707B7E">
      <w:pPr>
        <w:pStyle w:val="ab"/>
        <w:numPr>
          <w:ilvl w:val="0"/>
          <w:numId w:val="3"/>
        </w:numPr>
        <w:spacing w:line="360" w:lineRule="auto"/>
        <w:jc w:val="both"/>
        <w:rPr>
          <w:rFonts w:ascii="David" w:hAnsi="David" w:cs="David"/>
          <w:sz w:val="24"/>
          <w:szCs w:val="24"/>
        </w:rPr>
      </w:pPr>
      <w:r>
        <w:rPr>
          <w:rFonts w:ascii="David" w:hAnsi="David" w:cs="David"/>
          <w:sz w:val="24"/>
          <w:szCs w:val="24"/>
          <w:rtl/>
        </w:rPr>
        <w:t xml:space="preserve">לגבי הפסיקה המפורטת לעיל, ערכנו את ההתאמות ואת ההבחנה המתבקשת בין נסיבות אותם מקרים ובין נסיבות המקרה דנן. </w:t>
      </w:r>
    </w:p>
    <w:p w:rsidR="00707B7E" w:rsidRDefault="00707B7E" w:rsidP="00707B7E">
      <w:pPr>
        <w:pStyle w:val="ab"/>
        <w:spacing w:line="360" w:lineRule="auto"/>
        <w:ind w:left="502"/>
        <w:jc w:val="both"/>
        <w:rPr>
          <w:rFonts w:ascii="David" w:hAnsi="David" w:cs="David"/>
          <w:sz w:val="24"/>
          <w:szCs w:val="24"/>
        </w:rPr>
      </w:pPr>
    </w:p>
    <w:p w:rsidR="00707B7E" w:rsidRDefault="00707B7E" w:rsidP="00707B7E">
      <w:pPr>
        <w:pStyle w:val="ab"/>
        <w:numPr>
          <w:ilvl w:val="0"/>
          <w:numId w:val="3"/>
        </w:numPr>
        <w:tabs>
          <w:tab w:val="left" w:pos="509"/>
        </w:tabs>
        <w:spacing w:line="360" w:lineRule="auto"/>
        <w:jc w:val="both"/>
        <w:rPr>
          <w:rFonts w:ascii="David" w:hAnsi="David" w:cs="David"/>
          <w:sz w:val="24"/>
          <w:szCs w:val="24"/>
        </w:rPr>
      </w:pPr>
      <w:r>
        <w:rPr>
          <w:rFonts w:ascii="David" w:hAnsi="David" w:cs="David"/>
          <w:sz w:val="24"/>
          <w:szCs w:val="24"/>
          <w:rtl/>
        </w:rPr>
        <w:t xml:space="preserve">אנו קובעים אפוא כי בענייננו </w:t>
      </w:r>
      <w:r>
        <w:rPr>
          <w:rFonts w:ascii="David" w:hAnsi="David" w:cs="David"/>
          <w:sz w:val="24"/>
          <w:szCs w:val="24"/>
          <w:u w:val="single"/>
          <w:rtl/>
        </w:rPr>
        <w:t>מתחם העונש נע בין 17 ל-23 שנות מאסר</w:t>
      </w:r>
      <w:r>
        <w:rPr>
          <w:rFonts w:ascii="David" w:hAnsi="David" w:cs="David"/>
          <w:sz w:val="24"/>
          <w:szCs w:val="24"/>
          <w:rtl/>
        </w:rPr>
        <w:t>.</w:t>
      </w:r>
    </w:p>
    <w:p w:rsidR="00707B7E" w:rsidRDefault="00707B7E" w:rsidP="00707B7E">
      <w:pPr>
        <w:tabs>
          <w:tab w:val="left" w:pos="509"/>
        </w:tabs>
        <w:spacing w:line="360" w:lineRule="auto"/>
        <w:ind w:left="509" w:hanging="425"/>
        <w:contextualSpacing/>
        <w:jc w:val="both"/>
        <w:rPr>
          <w:rFonts w:ascii="David" w:hAnsi="David" w:cstheme="minorBidi"/>
          <w:sz w:val="22"/>
          <w:szCs w:val="22"/>
          <w:rtl/>
        </w:rPr>
      </w:pPr>
    </w:p>
    <w:p w:rsidR="00707B7E" w:rsidRDefault="00707B7E" w:rsidP="00707B7E">
      <w:pPr>
        <w:tabs>
          <w:tab w:val="left" w:pos="509"/>
        </w:tabs>
        <w:spacing w:line="360" w:lineRule="auto"/>
        <w:ind w:left="509" w:hanging="425"/>
        <w:contextualSpacing/>
        <w:rPr>
          <w:rFonts w:ascii="David" w:hAnsi="David"/>
          <w:b/>
          <w:bCs/>
          <w:rtl/>
        </w:rPr>
      </w:pPr>
      <w:r>
        <w:rPr>
          <w:rFonts w:ascii="David" w:hAnsi="David"/>
          <w:b/>
          <w:bCs/>
          <w:rtl/>
        </w:rPr>
        <w:t>עתירת ב"כ הנאשם לחריגה ממתחם העונש ההולם בשל מצבו הרפואי של הנאשם</w:t>
      </w:r>
    </w:p>
    <w:p w:rsidR="00707B7E" w:rsidRDefault="00707B7E" w:rsidP="00707B7E">
      <w:pPr>
        <w:tabs>
          <w:tab w:val="left" w:pos="509"/>
        </w:tabs>
        <w:spacing w:line="360" w:lineRule="auto"/>
        <w:ind w:left="509" w:hanging="425"/>
        <w:contextualSpacing/>
        <w:rPr>
          <w:rFonts w:ascii="David" w:hAnsi="David"/>
          <w:b/>
          <w:bCs/>
          <w:rtl/>
        </w:rPr>
      </w:pPr>
    </w:p>
    <w:p w:rsidR="00707B7E" w:rsidRDefault="00707B7E" w:rsidP="00707B7E">
      <w:pPr>
        <w:pStyle w:val="ab"/>
        <w:numPr>
          <w:ilvl w:val="0"/>
          <w:numId w:val="3"/>
        </w:numPr>
        <w:tabs>
          <w:tab w:val="left" w:pos="509"/>
        </w:tabs>
        <w:spacing w:line="360" w:lineRule="auto"/>
        <w:jc w:val="both"/>
        <w:rPr>
          <w:rFonts w:ascii="David" w:hAnsi="David" w:cs="David"/>
          <w:sz w:val="24"/>
          <w:szCs w:val="24"/>
          <w:rtl/>
        </w:rPr>
      </w:pPr>
      <w:r>
        <w:rPr>
          <w:rFonts w:ascii="David" w:hAnsi="David" w:cs="David"/>
          <w:sz w:val="24"/>
          <w:szCs w:val="24"/>
          <w:rtl/>
        </w:rPr>
        <w:t xml:space="preserve">כאמור (בפסקה 46 לעיל), בהתאם להוראת החוק, רשאי בית המשפט לחרוג לקולה ממתחם העונש ההולם בשל שיקולי שיקום או הגנה על שלום הציבור. </w:t>
      </w:r>
    </w:p>
    <w:p w:rsidR="00707B7E" w:rsidRDefault="00707B7E" w:rsidP="00707B7E">
      <w:pPr>
        <w:pStyle w:val="ab"/>
        <w:tabs>
          <w:tab w:val="left" w:pos="509"/>
        </w:tabs>
        <w:spacing w:line="360" w:lineRule="auto"/>
        <w:ind w:left="502"/>
        <w:jc w:val="both"/>
        <w:rPr>
          <w:rFonts w:ascii="David" w:hAnsi="David" w:cs="David"/>
          <w:sz w:val="24"/>
          <w:szCs w:val="24"/>
        </w:rPr>
      </w:pPr>
    </w:p>
    <w:p w:rsidR="00707B7E" w:rsidRDefault="00707B7E" w:rsidP="00707B7E">
      <w:pPr>
        <w:pStyle w:val="ab"/>
        <w:tabs>
          <w:tab w:val="left" w:pos="509"/>
        </w:tabs>
        <w:spacing w:line="360" w:lineRule="auto"/>
        <w:ind w:left="502"/>
        <w:jc w:val="both"/>
        <w:rPr>
          <w:rFonts w:ascii="David" w:hAnsi="David" w:cs="David"/>
          <w:sz w:val="24"/>
          <w:szCs w:val="24"/>
          <w:rtl/>
        </w:rPr>
      </w:pPr>
      <w:r>
        <w:rPr>
          <w:rFonts w:ascii="David" w:hAnsi="David" w:cs="David"/>
          <w:sz w:val="24"/>
          <w:szCs w:val="24"/>
          <w:rtl/>
        </w:rPr>
        <w:t xml:space="preserve">בעניין </w:t>
      </w:r>
      <w:r>
        <w:rPr>
          <w:rFonts w:ascii="David" w:hAnsi="David" w:cs="David"/>
          <w:b/>
          <w:bCs/>
          <w:sz w:val="24"/>
          <w:szCs w:val="24"/>
          <w:rtl/>
        </w:rPr>
        <w:t>לופוליאנסקי</w:t>
      </w:r>
      <w:r>
        <w:rPr>
          <w:rFonts w:ascii="David" w:hAnsi="David" w:cs="David"/>
          <w:sz w:val="24"/>
          <w:szCs w:val="24"/>
          <w:rtl/>
        </w:rPr>
        <w:t xml:space="preserve"> הכיר בית המשפט במצב רפואי קשה של נאשם, שכתוצאה ממנו עונש של מאסר בפועל עלול לקצר את תוחלת חייו, כשיקול המצדיק, </w:t>
      </w:r>
      <w:r>
        <w:rPr>
          <w:rFonts w:ascii="David" w:hAnsi="David" w:cs="David"/>
          <w:sz w:val="24"/>
          <w:szCs w:val="24"/>
          <w:u w:val="single"/>
          <w:rtl/>
        </w:rPr>
        <w:t>במקרים מיוחדים</w:t>
      </w:r>
      <w:r>
        <w:rPr>
          <w:rFonts w:ascii="David" w:hAnsi="David" w:cs="David"/>
          <w:sz w:val="24"/>
          <w:szCs w:val="24"/>
          <w:rtl/>
        </w:rPr>
        <w:t xml:space="preserve">, לחרוג לקולה ממתחם העונש ההולם מטעמי צדק [עניין </w:t>
      </w:r>
      <w:r>
        <w:rPr>
          <w:rFonts w:ascii="David" w:hAnsi="David" w:cs="David"/>
          <w:b/>
          <w:bCs/>
          <w:sz w:val="24"/>
          <w:szCs w:val="24"/>
          <w:rtl/>
        </w:rPr>
        <w:t>לופוליאנסקי</w:t>
      </w:r>
      <w:r>
        <w:rPr>
          <w:rFonts w:ascii="David" w:hAnsi="David" w:cs="David"/>
          <w:sz w:val="24"/>
          <w:szCs w:val="24"/>
          <w:rtl/>
        </w:rPr>
        <w:t>, בפסקה 220 לפסק-דינו של כב' השופט (כתוארו אז) ע' פוגלמן].</w:t>
      </w:r>
      <w:r>
        <w:rPr>
          <w:rFonts w:ascii="David" w:hAnsi="David" w:cs="David"/>
          <w:b/>
          <w:bCs/>
          <w:sz w:val="24"/>
          <w:szCs w:val="24"/>
          <w:rtl/>
        </w:rPr>
        <w:t xml:space="preserve"> </w:t>
      </w:r>
      <w:r>
        <w:rPr>
          <w:rFonts w:ascii="David" w:hAnsi="David" w:cs="David"/>
          <w:sz w:val="24"/>
          <w:szCs w:val="24"/>
          <w:rtl/>
        </w:rPr>
        <w:t xml:space="preserve">באותו מקרה, הקל בית המשפט בעונשו של המערער, אשר הורשע </w:t>
      </w:r>
      <w:r>
        <w:rPr>
          <w:rFonts w:ascii="David" w:hAnsi="David" w:cs="David"/>
          <w:sz w:val="24"/>
          <w:szCs w:val="24"/>
          <w:rtl/>
        </w:rPr>
        <w:lastRenderedPageBreak/>
        <w:t>בעבירות שוחד, וגזר עליו מאסר בעבודות שירות, חלף מאסר בפועל למשך שש שנים שהוטל עליו בבית המשפט המחוזי.</w:t>
      </w:r>
    </w:p>
    <w:p w:rsidR="00707B7E" w:rsidRDefault="00707B7E" w:rsidP="00707B7E">
      <w:pPr>
        <w:pStyle w:val="ab"/>
        <w:tabs>
          <w:tab w:val="left" w:pos="509"/>
        </w:tabs>
        <w:spacing w:line="360" w:lineRule="auto"/>
        <w:ind w:left="502"/>
        <w:jc w:val="both"/>
        <w:rPr>
          <w:rFonts w:ascii="David" w:hAnsi="David" w:cs="David"/>
          <w:sz w:val="24"/>
          <w:szCs w:val="24"/>
          <w:rtl/>
        </w:rPr>
      </w:pPr>
      <w:r>
        <w:rPr>
          <w:rFonts w:ascii="David" w:hAnsi="David" w:cs="David"/>
          <w:sz w:val="24"/>
          <w:szCs w:val="24"/>
          <w:rtl/>
        </w:rPr>
        <w:t xml:space="preserve"> </w:t>
      </w:r>
    </w:p>
    <w:p w:rsidR="00707B7E" w:rsidRDefault="00707B7E" w:rsidP="00707B7E">
      <w:pPr>
        <w:pStyle w:val="ab"/>
        <w:tabs>
          <w:tab w:val="left" w:pos="509"/>
        </w:tabs>
        <w:spacing w:line="360" w:lineRule="auto"/>
        <w:ind w:left="502"/>
        <w:jc w:val="both"/>
        <w:rPr>
          <w:rFonts w:ascii="David" w:hAnsi="David" w:cs="David"/>
          <w:sz w:val="24"/>
          <w:szCs w:val="24"/>
          <w:rtl/>
        </w:rPr>
      </w:pPr>
      <w:r>
        <w:rPr>
          <w:rFonts w:ascii="David" w:hAnsi="David" w:cs="David"/>
          <w:sz w:val="24"/>
          <w:szCs w:val="24"/>
          <w:rtl/>
        </w:rPr>
        <w:t xml:space="preserve">באותו עניין, הוגשו לבית המשפט </w:t>
      </w:r>
      <w:r>
        <w:rPr>
          <w:rFonts w:ascii="David" w:hAnsi="David" w:cs="David"/>
          <w:sz w:val="24"/>
          <w:szCs w:val="24"/>
          <w:u w:val="single"/>
          <w:rtl/>
        </w:rPr>
        <w:t>חוות דעת מומחה</w:t>
      </w:r>
      <w:r>
        <w:rPr>
          <w:rFonts w:ascii="David" w:hAnsi="David" w:cs="David"/>
          <w:sz w:val="24"/>
          <w:szCs w:val="24"/>
          <w:rtl/>
        </w:rPr>
        <w:t xml:space="preserve"> בעניין מצבו הרפואי הקשה של המערער, (בתחום ההמטולוגי), לרבות חוות דעת משלימה ועדכנית במסגרת הליכי הערעור. נקבע כי אין מחלוקת שמצבו הרפואי של המערער קשה, ולגבי השאלה האם ראוי, על רקע מצבו זה, להורות על כליאתו מאחורי סורג ובריח, הגיע בית המשפט לכלל מסקנה כי גם אם שב"ס ערוך היה לטפל במערער (במתכונת מסוימת), הרי </w:t>
      </w:r>
      <w:r>
        <w:rPr>
          <w:rFonts w:ascii="David" w:hAnsi="David" w:cs="David"/>
          <w:sz w:val="24"/>
          <w:szCs w:val="24"/>
          <w:u w:val="single"/>
          <w:rtl/>
        </w:rPr>
        <w:t>שעונש המאסר יביא לקיצור ממשי של תוחלת חייו</w:t>
      </w:r>
      <w:r>
        <w:rPr>
          <w:rFonts w:ascii="David" w:hAnsi="David" w:cs="David"/>
          <w:sz w:val="24"/>
          <w:szCs w:val="24"/>
          <w:rtl/>
        </w:rPr>
        <w:t xml:space="preserve">. </w:t>
      </w:r>
    </w:p>
    <w:p w:rsidR="00707B7E" w:rsidRDefault="00707B7E" w:rsidP="00707B7E">
      <w:pPr>
        <w:pStyle w:val="ab"/>
        <w:tabs>
          <w:tab w:val="left" w:pos="509"/>
        </w:tabs>
        <w:spacing w:line="360" w:lineRule="auto"/>
        <w:ind w:left="502"/>
        <w:jc w:val="both"/>
        <w:rPr>
          <w:rFonts w:ascii="David" w:hAnsi="David" w:cs="David"/>
          <w:sz w:val="24"/>
          <w:szCs w:val="24"/>
          <w:rtl/>
        </w:rPr>
      </w:pPr>
    </w:p>
    <w:p w:rsidR="00707B7E" w:rsidRDefault="00707B7E" w:rsidP="00707B7E">
      <w:pPr>
        <w:pStyle w:val="ab"/>
        <w:numPr>
          <w:ilvl w:val="0"/>
          <w:numId w:val="3"/>
        </w:numPr>
        <w:tabs>
          <w:tab w:val="left" w:pos="509"/>
        </w:tabs>
        <w:spacing w:line="360" w:lineRule="auto"/>
        <w:jc w:val="both"/>
        <w:rPr>
          <w:rFonts w:ascii="David" w:hAnsi="David" w:cs="David"/>
          <w:sz w:val="24"/>
          <w:szCs w:val="24"/>
          <w:rtl/>
        </w:rPr>
      </w:pPr>
      <w:r>
        <w:rPr>
          <w:rFonts w:ascii="David" w:hAnsi="David" w:cs="David"/>
          <w:sz w:val="24"/>
          <w:szCs w:val="24"/>
          <w:rtl/>
        </w:rPr>
        <w:t xml:space="preserve">לצד זאת, קבע בית המשפט העליון כי על בתי המשפט לאזן בין טעמי הצדק לבין חומרת העבירה שבה הורשע הנאשם. כמו כן, הודגשה יכולתם של גורמי הרפואה בשב"ס להעניק טיפול לאסירים המתמודדים עם מצבים רפואיים מורכבים: </w:t>
      </w:r>
    </w:p>
    <w:p w:rsidR="00707B7E" w:rsidRDefault="00707B7E" w:rsidP="00707B7E">
      <w:pPr>
        <w:pStyle w:val="ab"/>
        <w:tabs>
          <w:tab w:val="left" w:pos="509"/>
        </w:tabs>
        <w:spacing w:line="360" w:lineRule="auto"/>
        <w:ind w:left="502"/>
        <w:jc w:val="both"/>
        <w:rPr>
          <w:rFonts w:ascii="David" w:hAnsi="David" w:cs="David"/>
          <w:sz w:val="24"/>
          <w:szCs w:val="24"/>
        </w:rPr>
      </w:pPr>
    </w:p>
    <w:p w:rsidR="00707B7E" w:rsidRDefault="00707B7E" w:rsidP="00707B7E">
      <w:pPr>
        <w:pStyle w:val="ab"/>
        <w:tabs>
          <w:tab w:val="left" w:pos="509"/>
        </w:tabs>
        <w:spacing w:line="360" w:lineRule="auto"/>
        <w:ind w:left="502"/>
        <w:jc w:val="both"/>
        <w:rPr>
          <w:rFonts w:ascii="David" w:hAnsi="David" w:cs="David"/>
          <w:sz w:val="24"/>
          <w:szCs w:val="24"/>
        </w:rPr>
      </w:pPr>
      <w:r>
        <w:rPr>
          <w:rFonts w:ascii="David" w:hAnsi="David" w:cs="David"/>
          <w:sz w:val="24"/>
          <w:szCs w:val="24"/>
          <w:rtl/>
        </w:rPr>
        <w:t>"</w:t>
      </w:r>
      <w:r>
        <w:rPr>
          <w:rFonts w:ascii="David" w:hAnsi="David" w:cs="David"/>
          <w:b/>
          <w:bCs/>
          <w:sz w:val="24"/>
          <w:szCs w:val="24"/>
          <w:rtl/>
        </w:rPr>
        <w:t xml:space="preserve">בבוא בית המשפט לשקול חריגה מטעמי צדק ממתחם העונש ההולם, שומה עליו </w:t>
      </w:r>
      <w:r>
        <w:rPr>
          <w:rFonts w:ascii="David" w:hAnsi="David" w:cs="David"/>
          <w:b/>
          <w:bCs/>
          <w:sz w:val="24"/>
          <w:szCs w:val="24"/>
          <w:u w:val="single"/>
          <w:rtl/>
        </w:rPr>
        <w:t>לאזן בין טעמי הצדק המצדיקים חריגה מן המתחם לבין חומרת המעשים שבהם הורשע הנאשם</w:t>
      </w:r>
      <w:r>
        <w:rPr>
          <w:rFonts w:ascii="David" w:hAnsi="David" w:cs="David"/>
          <w:b/>
          <w:bCs/>
          <w:sz w:val="24"/>
          <w:szCs w:val="24"/>
          <w:rtl/>
        </w:rPr>
        <w:t xml:space="preserve">. </w:t>
      </w:r>
      <w:r>
        <w:rPr>
          <w:rFonts w:ascii="David" w:hAnsi="David" w:cs="David"/>
          <w:b/>
          <w:bCs/>
          <w:sz w:val="24"/>
          <w:szCs w:val="24"/>
          <w:u w:val="single"/>
          <w:rtl/>
        </w:rPr>
        <w:t>בקטגוריה שבה עסקינן יש לבחון אם עונש של מאסר בפועל עלול לסכן את חייו של מי שהורשע בדין או לקצר בצורה ניכרת את תוחלת חייו, ולהביא מנגד, כאמור, את חומרת המעשים שבהם הורשע</w:t>
      </w:r>
      <w:r>
        <w:rPr>
          <w:rFonts w:ascii="David" w:hAnsi="David" w:cs="David"/>
          <w:sz w:val="24"/>
          <w:szCs w:val="24"/>
          <w:rtl/>
        </w:rPr>
        <w:t>...</w:t>
      </w:r>
    </w:p>
    <w:p w:rsidR="00707B7E" w:rsidRDefault="00707B7E" w:rsidP="00707B7E">
      <w:pPr>
        <w:pStyle w:val="ab"/>
        <w:tabs>
          <w:tab w:val="left" w:pos="509"/>
        </w:tabs>
        <w:spacing w:line="360" w:lineRule="auto"/>
        <w:ind w:left="502"/>
        <w:jc w:val="both"/>
        <w:rPr>
          <w:rFonts w:ascii="David" w:hAnsi="David" w:cs="David"/>
          <w:sz w:val="24"/>
          <w:szCs w:val="24"/>
          <w:rtl/>
        </w:rPr>
      </w:pPr>
      <w:r>
        <w:rPr>
          <w:rFonts w:ascii="David" w:hAnsi="David" w:cs="David"/>
          <w:b/>
          <w:bCs/>
          <w:sz w:val="24"/>
          <w:szCs w:val="24"/>
          <w:rtl/>
        </w:rPr>
        <w:t>כאשר עסקינן במצב רפואי, ככלל, הנחת המוצא היא כי גורמי הרפואה בשירות בתי הסוהר ערוכים לטפל באסירים במצבים רפואיים שונים, כולל כאלה שאינם פשוטים כלל ועיקר. את מצבו הרפואי של מי שהורשע בדין יש לאזן עם שיקולים רלוונטיים אחרים, ובכלל אלה הסיכון שנשקף לציבור ממנו. אין אפוא בדברינו אלה משום קביעת כלל שלפיו טענה לקיצור תוחלת חיים נושאת בצידה, מניה וביה, חסינות מפני עונש מאסר בפועל</w:t>
      </w:r>
      <w:r>
        <w:rPr>
          <w:rFonts w:ascii="David" w:hAnsi="David" w:cs="David"/>
          <w:sz w:val="24"/>
          <w:szCs w:val="24"/>
          <w:rtl/>
        </w:rPr>
        <w:t>" (שם, בפסקאות 222-221) (ההדגשות אינן במקור).</w:t>
      </w:r>
    </w:p>
    <w:p w:rsidR="00707B7E" w:rsidRDefault="00707B7E" w:rsidP="00707B7E">
      <w:pPr>
        <w:pStyle w:val="ab"/>
        <w:tabs>
          <w:tab w:val="left" w:pos="509"/>
        </w:tabs>
        <w:spacing w:line="360" w:lineRule="auto"/>
        <w:ind w:left="502"/>
        <w:rPr>
          <w:rFonts w:ascii="David" w:hAnsi="David" w:cs="David"/>
          <w:b/>
          <w:bCs/>
          <w:sz w:val="24"/>
          <w:szCs w:val="24"/>
          <w:rtl/>
        </w:rPr>
      </w:pPr>
    </w:p>
    <w:p w:rsidR="00707B7E" w:rsidRDefault="00707B7E" w:rsidP="00707B7E">
      <w:pPr>
        <w:pStyle w:val="ab"/>
        <w:numPr>
          <w:ilvl w:val="0"/>
          <w:numId w:val="3"/>
        </w:numPr>
        <w:tabs>
          <w:tab w:val="left" w:pos="509"/>
        </w:tabs>
        <w:spacing w:line="360" w:lineRule="auto"/>
        <w:jc w:val="both"/>
        <w:rPr>
          <w:rFonts w:ascii="David" w:hAnsi="David" w:cs="David"/>
          <w:sz w:val="24"/>
          <w:szCs w:val="24"/>
          <w:rtl/>
        </w:rPr>
      </w:pPr>
      <w:r>
        <w:rPr>
          <w:rFonts w:ascii="David" w:hAnsi="David" w:cs="David"/>
          <w:sz w:val="24"/>
          <w:szCs w:val="24"/>
          <w:rtl/>
        </w:rPr>
        <w:t xml:space="preserve">אכן, כפי שנקבע בפסיקה, חריגה ממתחם העונש ההולם בשל מצב רפואי קשה, שמורה למקרים </w:t>
      </w:r>
      <w:r>
        <w:rPr>
          <w:rFonts w:ascii="David" w:hAnsi="David" w:cs="David"/>
          <w:sz w:val="24"/>
          <w:szCs w:val="24"/>
          <w:u w:val="single"/>
          <w:rtl/>
        </w:rPr>
        <w:t>מיוחדים וחריגים</w:t>
      </w:r>
      <w:r>
        <w:rPr>
          <w:rFonts w:ascii="David" w:hAnsi="David" w:cs="David"/>
          <w:sz w:val="24"/>
          <w:szCs w:val="24"/>
          <w:rtl/>
        </w:rPr>
        <w:t xml:space="preserve"> [ר' ההפניה לעיל בעניין </w:t>
      </w:r>
      <w:r>
        <w:rPr>
          <w:rFonts w:ascii="David" w:hAnsi="David" w:cs="David"/>
          <w:b/>
          <w:bCs/>
          <w:sz w:val="24"/>
          <w:szCs w:val="24"/>
          <w:rtl/>
        </w:rPr>
        <w:t>לופוליאנסקי</w:t>
      </w:r>
      <w:r>
        <w:rPr>
          <w:rFonts w:ascii="David" w:hAnsi="David" w:cs="David"/>
          <w:sz w:val="24"/>
          <w:szCs w:val="24"/>
          <w:rtl/>
        </w:rPr>
        <w:t xml:space="preserve">, וכן עניין </w:t>
      </w:r>
      <w:r>
        <w:rPr>
          <w:rFonts w:ascii="David" w:hAnsi="David" w:cs="David"/>
          <w:b/>
          <w:bCs/>
          <w:sz w:val="24"/>
          <w:szCs w:val="24"/>
          <w:rtl/>
        </w:rPr>
        <w:t xml:space="preserve">בר, </w:t>
      </w:r>
      <w:r>
        <w:rPr>
          <w:rFonts w:ascii="David" w:hAnsi="David" w:cs="David"/>
          <w:sz w:val="24"/>
          <w:szCs w:val="24"/>
          <w:rtl/>
        </w:rPr>
        <w:t xml:space="preserve">בפסקה 12 לפסק-דינו של כב' השופט נ' סולברג. ר' גם ת"פ (מרכז) 9625-07-18 </w:t>
      </w:r>
      <w:r>
        <w:rPr>
          <w:rFonts w:ascii="David" w:hAnsi="David" w:cs="David"/>
          <w:b/>
          <w:bCs/>
          <w:sz w:val="24"/>
          <w:szCs w:val="24"/>
          <w:rtl/>
        </w:rPr>
        <w:t>מדינת ישראל נ' סער</w:t>
      </w:r>
      <w:r>
        <w:rPr>
          <w:rFonts w:ascii="David" w:hAnsi="David" w:cs="David"/>
          <w:sz w:val="24"/>
          <w:szCs w:val="24"/>
          <w:rtl/>
        </w:rPr>
        <w:t xml:space="preserve"> (15.4.2024), שבו הפנתה ההגנה את בית המשפט לכל אותם מקרים שבהם התקבלו טענות מסוג זה. בהקשר זה ציין בית המשפט (כב' השופט ח' טרסי): "</w:t>
      </w:r>
      <w:r>
        <w:rPr>
          <w:rFonts w:ascii="David" w:hAnsi="David" w:cs="David"/>
          <w:b/>
          <w:bCs/>
          <w:sz w:val="24"/>
          <w:szCs w:val="24"/>
          <w:rtl/>
        </w:rPr>
        <w:t>מעטים עד מאוד הם המקרים בהם סטו בתי המשפט לקולה ממתחם העונש ההולם מטעמים רפואיים גרידא</w:t>
      </w:r>
      <w:r>
        <w:rPr>
          <w:rFonts w:ascii="David" w:hAnsi="David" w:cs="David"/>
          <w:sz w:val="24"/>
          <w:szCs w:val="24"/>
          <w:rtl/>
        </w:rPr>
        <w:t xml:space="preserve">"]. </w:t>
      </w:r>
    </w:p>
    <w:p w:rsidR="00707B7E" w:rsidRDefault="00707B7E" w:rsidP="00707B7E">
      <w:pPr>
        <w:pStyle w:val="ab"/>
        <w:tabs>
          <w:tab w:val="left" w:pos="509"/>
        </w:tabs>
        <w:spacing w:line="360" w:lineRule="auto"/>
        <w:ind w:left="502"/>
        <w:jc w:val="both"/>
        <w:rPr>
          <w:rFonts w:ascii="David" w:hAnsi="David" w:cs="David"/>
          <w:sz w:val="24"/>
          <w:szCs w:val="24"/>
        </w:rPr>
      </w:pPr>
    </w:p>
    <w:p w:rsidR="00707B7E" w:rsidRDefault="00707B7E" w:rsidP="00707B7E">
      <w:pPr>
        <w:pStyle w:val="ab"/>
        <w:numPr>
          <w:ilvl w:val="0"/>
          <w:numId w:val="3"/>
        </w:numPr>
        <w:tabs>
          <w:tab w:val="left" w:pos="509"/>
        </w:tabs>
        <w:spacing w:line="360" w:lineRule="auto"/>
        <w:jc w:val="both"/>
        <w:rPr>
          <w:rFonts w:ascii="David" w:hAnsi="David" w:cs="David"/>
          <w:sz w:val="24"/>
          <w:szCs w:val="24"/>
        </w:rPr>
      </w:pPr>
      <w:r>
        <w:rPr>
          <w:rFonts w:ascii="David" w:hAnsi="David" w:cs="David"/>
          <w:sz w:val="24"/>
          <w:szCs w:val="24"/>
          <w:rtl/>
        </w:rPr>
        <w:lastRenderedPageBreak/>
        <w:t xml:space="preserve">לתמיכה בעתירתו לחרוג ממתחם הענישה, מעבר לעניין </w:t>
      </w:r>
      <w:r>
        <w:rPr>
          <w:rFonts w:ascii="David" w:hAnsi="David" w:cs="David"/>
          <w:b/>
          <w:bCs/>
          <w:sz w:val="24"/>
          <w:szCs w:val="24"/>
          <w:rtl/>
        </w:rPr>
        <w:t>לופוליאנסקי</w:t>
      </w:r>
      <w:r>
        <w:rPr>
          <w:rFonts w:ascii="David" w:hAnsi="David" w:cs="David"/>
          <w:sz w:val="24"/>
          <w:szCs w:val="24"/>
          <w:rtl/>
        </w:rPr>
        <w:t xml:space="preserve">, הפנה ב"כ הנאשם לשלושה פסקי-דין המאופיינים בנסיבות חריגות. ואולם, יש לערוך הבחנה בין כל פסקי הדין שאליהם הפנה ב"כ הנאשם לבין המקרה דנן: </w:t>
      </w:r>
    </w:p>
    <w:p w:rsidR="00707B7E" w:rsidRDefault="00707B7E" w:rsidP="00707B7E">
      <w:pPr>
        <w:pStyle w:val="ab"/>
        <w:tabs>
          <w:tab w:val="left" w:pos="509"/>
        </w:tabs>
        <w:spacing w:line="360" w:lineRule="auto"/>
        <w:ind w:left="502"/>
        <w:jc w:val="both"/>
        <w:rPr>
          <w:rFonts w:ascii="David" w:hAnsi="David" w:cs="David"/>
          <w:sz w:val="24"/>
          <w:szCs w:val="24"/>
        </w:rPr>
      </w:pPr>
    </w:p>
    <w:p w:rsidR="00707B7E" w:rsidRDefault="00707B7E" w:rsidP="00707B7E">
      <w:pPr>
        <w:pStyle w:val="ab"/>
        <w:tabs>
          <w:tab w:val="left" w:pos="509"/>
        </w:tabs>
        <w:spacing w:line="360" w:lineRule="auto"/>
        <w:ind w:left="502"/>
        <w:jc w:val="both"/>
        <w:rPr>
          <w:rFonts w:ascii="David" w:hAnsi="David" w:cs="David"/>
          <w:sz w:val="24"/>
          <w:szCs w:val="24"/>
          <w:rtl/>
        </w:rPr>
      </w:pPr>
      <w:r>
        <w:rPr>
          <w:rFonts w:ascii="David" w:hAnsi="David" w:cs="David"/>
          <w:sz w:val="24"/>
          <w:szCs w:val="24"/>
          <w:rtl/>
        </w:rPr>
        <w:t xml:space="preserve">עניין </w:t>
      </w:r>
      <w:r>
        <w:rPr>
          <w:rFonts w:ascii="David" w:hAnsi="David" w:cs="David"/>
          <w:b/>
          <w:bCs/>
          <w:sz w:val="24"/>
          <w:szCs w:val="24"/>
          <w:rtl/>
        </w:rPr>
        <w:t>פלוני</w:t>
      </w:r>
      <w:r>
        <w:rPr>
          <w:rFonts w:ascii="David" w:hAnsi="David" w:cs="David"/>
          <w:sz w:val="24"/>
          <w:szCs w:val="24"/>
          <w:rtl/>
        </w:rPr>
        <w:t xml:space="preserve">, שבו התקבל </w:t>
      </w:r>
      <w:r>
        <w:rPr>
          <w:rFonts w:ascii="David" w:hAnsi="David" w:cs="David"/>
          <w:sz w:val="24"/>
          <w:szCs w:val="24"/>
          <w:u w:val="single"/>
          <w:rtl/>
        </w:rPr>
        <w:t>בהסכמת הצדדים</w:t>
      </w:r>
      <w:r>
        <w:rPr>
          <w:rFonts w:ascii="David" w:hAnsi="David" w:cs="David"/>
          <w:sz w:val="24"/>
          <w:szCs w:val="24"/>
          <w:rtl/>
        </w:rPr>
        <w:t xml:space="preserve"> ערעור על חומרת העונש שהגיש המערער, סב שביצע מעשים מגונים בנכדתו. בוטלו עונש המאסר בפועל בן שישה חודשים ועונשי המאסר המותנים, ונשאר על כנו רכיב הפיצוי. הנימוק לכך היה מצבו הפיזי והקוגניטיבי של המערער. </w:t>
      </w:r>
    </w:p>
    <w:p w:rsidR="00707B7E" w:rsidRDefault="00707B7E" w:rsidP="00707B7E">
      <w:pPr>
        <w:pStyle w:val="ab"/>
        <w:tabs>
          <w:tab w:val="left" w:pos="509"/>
        </w:tabs>
        <w:spacing w:line="360" w:lineRule="auto"/>
        <w:ind w:left="502"/>
        <w:jc w:val="both"/>
        <w:rPr>
          <w:rFonts w:ascii="David" w:hAnsi="David" w:cs="David"/>
          <w:sz w:val="24"/>
          <w:szCs w:val="24"/>
          <w:rtl/>
        </w:rPr>
      </w:pPr>
    </w:p>
    <w:p w:rsidR="00707B7E" w:rsidRDefault="00707B7E" w:rsidP="00707B7E">
      <w:pPr>
        <w:pStyle w:val="ab"/>
        <w:tabs>
          <w:tab w:val="left" w:pos="509"/>
        </w:tabs>
        <w:spacing w:line="360" w:lineRule="auto"/>
        <w:ind w:left="502"/>
        <w:jc w:val="both"/>
        <w:rPr>
          <w:rFonts w:ascii="David" w:hAnsi="David" w:cs="David"/>
          <w:sz w:val="24"/>
          <w:szCs w:val="24"/>
          <w:rtl/>
        </w:rPr>
      </w:pPr>
      <w:r>
        <w:rPr>
          <w:rFonts w:ascii="David" w:hAnsi="David" w:cs="David"/>
          <w:sz w:val="24"/>
          <w:szCs w:val="24"/>
          <w:rtl/>
        </w:rPr>
        <w:t xml:space="preserve">עניין </w:t>
      </w:r>
      <w:r>
        <w:rPr>
          <w:rFonts w:ascii="David" w:hAnsi="David" w:cs="David"/>
          <w:b/>
          <w:bCs/>
          <w:sz w:val="24"/>
          <w:szCs w:val="24"/>
          <w:rtl/>
        </w:rPr>
        <w:t>הרוש</w:t>
      </w:r>
      <w:r>
        <w:rPr>
          <w:rFonts w:ascii="David" w:hAnsi="David" w:cs="David"/>
          <w:sz w:val="24"/>
          <w:szCs w:val="24"/>
          <w:rtl/>
        </w:rPr>
        <w:t>, שבו התקבל</w:t>
      </w:r>
      <w:r>
        <w:rPr>
          <w:rFonts w:ascii="David" w:hAnsi="David" w:cs="David"/>
          <w:b/>
          <w:bCs/>
          <w:sz w:val="24"/>
          <w:szCs w:val="24"/>
          <w:rtl/>
        </w:rPr>
        <w:t xml:space="preserve"> </w:t>
      </w:r>
      <w:r>
        <w:rPr>
          <w:rFonts w:ascii="David" w:hAnsi="David" w:cs="David"/>
          <w:sz w:val="24"/>
          <w:szCs w:val="24"/>
          <w:rtl/>
        </w:rPr>
        <w:t xml:space="preserve">הערעור על חומרת העונש, ועונשו של המערער, אשר נורה בגבו ונותר סיעודי ומשותק בשתי רגליו, הועמד על שישה חודשי מאסר בפועל (במקום 12 חודשים), וזאת בגין סיוע לעשיית עסקה אחרת בנשק. </w:t>
      </w:r>
    </w:p>
    <w:p w:rsidR="00707B7E" w:rsidRDefault="00707B7E" w:rsidP="00707B7E">
      <w:pPr>
        <w:pStyle w:val="ab"/>
        <w:tabs>
          <w:tab w:val="left" w:pos="509"/>
        </w:tabs>
        <w:spacing w:line="360" w:lineRule="auto"/>
        <w:ind w:left="502"/>
        <w:jc w:val="both"/>
        <w:rPr>
          <w:rFonts w:ascii="David" w:hAnsi="David" w:cs="David"/>
          <w:sz w:val="24"/>
          <w:szCs w:val="24"/>
          <w:rtl/>
        </w:rPr>
      </w:pPr>
    </w:p>
    <w:p w:rsidR="00707B7E" w:rsidRDefault="00707B7E" w:rsidP="00707B7E">
      <w:pPr>
        <w:pStyle w:val="ab"/>
        <w:tabs>
          <w:tab w:val="left" w:pos="509"/>
        </w:tabs>
        <w:spacing w:line="360" w:lineRule="auto"/>
        <w:ind w:left="502"/>
        <w:jc w:val="both"/>
        <w:rPr>
          <w:rFonts w:ascii="David" w:hAnsi="David" w:cs="David"/>
          <w:sz w:val="24"/>
          <w:szCs w:val="24"/>
          <w:rtl/>
        </w:rPr>
      </w:pPr>
      <w:r>
        <w:rPr>
          <w:rFonts w:ascii="David" w:hAnsi="David" w:cs="David"/>
          <w:sz w:val="24"/>
          <w:szCs w:val="24"/>
          <w:rtl/>
        </w:rPr>
        <w:t xml:space="preserve">עניין </w:t>
      </w:r>
      <w:r>
        <w:rPr>
          <w:rFonts w:ascii="David" w:hAnsi="David" w:cs="David"/>
          <w:b/>
          <w:bCs/>
          <w:sz w:val="24"/>
          <w:szCs w:val="24"/>
          <w:rtl/>
        </w:rPr>
        <w:t>דורפמן</w:t>
      </w:r>
      <w:r>
        <w:rPr>
          <w:rFonts w:ascii="David" w:hAnsi="David" w:cs="David"/>
          <w:sz w:val="24"/>
          <w:szCs w:val="24"/>
          <w:rtl/>
        </w:rPr>
        <w:t xml:space="preserve">, שניתן </w:t>
      </w:r>
      <w:r>
        <w:rPr>
          <w:rFonts w:ascii="David" w:hAnsi="David" w:cs="David"/>
          <w:sz w:val="24"/>
          <w:szCs w:val="24"/>
          <w:u w:val="single"/>
          <w:rtl/>
        </w:rPr>
        <w:t>לפני תיקון מס' 113</w:t>
      </w:r>
      <w:r>
        <w:rPr>
          <w:rFonts w:ascii="David" w:hAnsi="David" w:cs="David"/>
          <w:sz w:val="24"/>
          <w:szCs w:val="24"/>
          <w:rtl/>
        </w:rPr>
        <w:t xml:space="preserve"> לחוק העונשין (הבניית שיקול הדעת בענישה) ושבגדרו נדחה ערעור המדינה על קולת העונש, ונותר בעינו עונש המאסר המותנה בגין עבירה של חבלה חמורה בנסיבות מחמירות, וזאת בשל מצבו הרפואי הקשה של המערער. </w:t>
      </w:r>
    </w:p>
    <w:p w:rsidR="00707B7E" w:rsidRDefault="00707B7E" w:rsidP="00707B7E">
      <w:pPr>
        <w:pStyle w:val="ab"/>
        <w:tabs>
          <w:tab w:val="left" w:pos="509"/>
        </w:tabs>
        <w:spacing w:after="0" w:line="360" w:lineRule="auto"/>
        <w:ind w:left="505"/>
        <w:jc w:val="both"/>
        <w:rPr>
          <w:rFonts w:ascii="David" w:hAnsi="David" w:cs="David"/>
          <w:sz w:val="24"/>
          <w:szCs w:val="24"/>
          <w:rtl/>
        </w:rPr>
      </w:pPr>
    </w:p>
    <w:p w:rsidR="00707B7E" w:rsidRDefault="00707B7E" w:rsidP="00707B7E">
      <w:pPr>
        <w:numPr>
          <w:ilvl w:val="0"/>
          <w:numId w:val="3"/>
        </w:numPr>
        <w:tabs>
          <w:tab w:val="left" w:pos="509"/>
        </w:tabs>
        <w:spacing w:after="160" w:line="360" w:lineRule="auto"/>
        <w:contextualSpacing/>
        <w:jc w:val="both"/>
        <w:rPr>
          <w:rFonts w:ascii="David" w:hAnsi="David"/>
        </w:rPr>
      </w:pPr>
      <w:r>
        <w:rPr>
          <w:rFonts w:ascii="David" w:hAnsi="David"/>
          <w:rtl/>
        </w:rPr>
        <w:t xml:space="preserve">אשר לנאשם שלפנינו, כפי שפורט לעיל (ר' פסקה 27), הוגשו לבית המשפט מסמכים רפואיים, מהם עולה שהנאשם, שאינו אדם צעיר, סובל ממגוון בעיות רפואיות, פיזיות ורגשיות, עם הגבלה תפקודית מסוימת. נציין כי בהכרעת הדין התייחסנו למצבו הרפואי של הנאשם כפי שהיה בשעתו. בינתיים גילו של הנאשם התקדם, וחלה הרעה מסוימת במצבו הבריאותי. עם זאת, מהמסמכים הרפואיים </w:t>
      </w:r>
      <w:r>
        <w:rPr>
          <w:rFonts w:ascii="David" w:hAnsi="David"/>
          <w:u w:val="single"/>
          <w:rtl/>
        </w:rPr>
        <w:t>לא עולה כי מדובר במצב בריאותי אקוטי עם סיכון מיידי לחיים, אם בכלל</w:t>
      </w:r>
      <w:r>
        <w:rPr>
          <w:rFonts w:ascii="David" w:hAnsi="David"/>
          <w:rtl/>
        </w:rPr>
        <w:t xml:space="preserve">. הבעיות הרפואיות של הנאשם אכן דורשות התייחסות רפואית, ועל פניו ניתן לתת להן מענה באמצעות הגורמים הרפואיים בשב"ס. נדגיש כי בעניין </w:t>
      </w:r>
      <w:r>
        <w:rPr>
          <w:rFonts w:ascii="David" w:hAnsi="David"/>
          <w:b/>
          <w:bCs/>
          <w:rtl/>
        </w:rPr>
        <w:t>לופוליאנסקי</w:t>
      </w:r>
      <w:r>
        <w:rPr>
          <w:rFonts w:ascii="David" w:hAnsi="David"/>
          <w:rtl/>
        </w:rPr>
        <w:t xml:space="preserve"> הקביעה של בית המשפט בדבר מצבו הרפואי הקשה של המערער הושתתה על חוות דעת מומחים, גם בהתייחס להשפעת הכליאה מאחורי סורג ובריח על תוחלת חייו של המערער, מה שאין כן במקרה דנן. </w:t>
      </w:r>
    </w:p>
    <w:p w:rsidR="00707B7E" w:rsidRDefault="00707B7E" w:rsidP="00707B7E">
      <w:pPr>
        <w:pStyle w:val="ab"/>
        <w:numPr>
          <w:ilvl w:val="0"/>
          <w:numId w:val="3"/>
        </w:numPr>
        <w:tabs>
          <w:tab w:val="left" w:pos="509"/>
        </w:tabs>
        <w:spacing w:line="360" w:lineRule="auto"/>
        <w:jc w:val="both"/>
        <w:rPr>
          <w:rFonts w:ascii="David" w:hAnsi="David" w:cs="David"/>
          <w:sz w:val="24"/>
          <w:szCs w:val="24"/>
        </w:rPr>
      </w:pPr>
      <w:r>
        <w:rPr>
          <w:rFonts w:ascii="David" w:hAnsi="David" w:cs="David"/>
          <w:sz w:val="24"/>
          <w:szCs w:val="24"/>
          <w:rtl/>
        </w:rPr>
        <w:t xml:space="preserve">כמו כן, כפי שנקבע בעניין </w:t>
      </w:r>
      <w:r>
        <w:rPr>
          <w:rFonts w:ascii="David" w:hAnsi="David" w:cs="David"/>
          <w:b/>
          <w:bCs/>
          <w:sz w:val="24"/>
          <w:szCs w:val="24"/>
          <w:rtl/>
        </w:rPr>
        <w:t>לופוליאנסקי</w:t>
      </w:r>
      <w:r>
        <w:rPr>
          <w:rFonts w:ascii="David" w:hAnsi="David" w:cs="David"/>
          <w:sz w:val="24"/>
          <w:szCs w:val="24"/>
          <w:rtl/>
        </w:rPr>
        <w:t xml:space="preserve">, בבואנו לשקול חריגה מהמתחם בשל שיקולי צדק, עלינו לשקול מנגד את </w:t>
      </w:r>
      <w:r>
        <w:rPr>
          <w:rFonts w:ascii="David" w:hAnsi="David" w:cs="David"/>
          <w:sz w:val="24"/>
          <w:szCs w:val="24"/>
          <w:u w:val="single"/>
          <w:rtl/>
        </w:rPr>
        <w:t>חומרת העבירה</w:t>
      </w:r>
      <w:r>
        <w:rPr>
          <w:rFonts w:ascii="David" w:hAnsi="David" w:cs="David"/>
          <w:sz w:val="24"/>
          <w:szCs w:val="24"/>
          <w:rtl/>
        </w:rPr>
        <w:t xml:space="preserve"> שביצע הנאשם. במקרה דנן, הנאשם הורשע בעבירה שהיא מהחמורות בספר החוקים: עבירת הרצח, בעוד שבכל המקרים שהובאו לפנינו על ידי ב"כ הנאשם מדובר בעבירות פחותות בחומרתן באופן משמעותי. </w:t>
      </w:r>
    </w:p>
    <w:p w:rsidR="00707B7E" w:rsidRDefault="00707B7E" w:rsidP="00707B7E">
      <w:pPr>
        <w:pStyle w:val="ab"/>
        <w:rPr>
          <w:rFonts w:ascii="David" w:hAnsi="David" w:cs="David"/>
          <w:sz w:val="24"/>
          <w:szCs w:val="24"/>
        </w:rPr>
      </w:pPr>
    </w:p>
    <w:p w:rsidR="00707B7E" w:rsidRDefault="00707B7E" w:rsidP="00707B7E">
      <w:pPr>
        <w:pStyle w:val="ab"/>
        <w:numPr>
          <w:ilvl w:val="0"/>
          <w:numId w:val="3"/>
        </w:numPr>
        <w:tabs>
          <w:tab w:val="left" w:pos="509"/>
        </w:tabs>
        <w:spacing w:line="360" w:lineRule="auto"/>
        <w:jc w:val="both"/>
        <w:rPr>
          <w:rFonts w:ascii="David" w:hAnsi="David" w:cs="David"/>
          <w:sz w:val="24"/>
          <w:szCs w:val="24"/>
          <w:rtl/>
        </w:rPr>
      </w:pPr>
      <w:r>
        <w:rPr>
          <w:rFonts w:ascii="David" w:hAnsi="David" w:cs="David"/>
          <w:sz w:val="24"/>
          <w:szCs w:val="24"/>
          <w:rtl/>
        </w:rPr>
        <w:t xml:space="preserve">לאור האמור לעיל, אנו קובעים כי במקרה דנן </w:t>
      </w:r>
      <w:r>
        <w:rPr>
          <w:rFonts w:ascii="David" w:hAnsi="David" w:cs="David"/>
          <w:sz w:val="24"/>
          <w:szCs w:val="24"/>
          <w:u w:val="single"/>
          <w:rtl/>
        </w:rPr>
        <w:t>אי</w:t>
      </w:r>
      <w:r>
        <w:rPr>
          <w:rFonts w:ascii="David" w:hAnsi="David" w:cs="David"/>
          <w:sz w:val="24"/>
          <w:szCs w:val="24"/>
          <w:rtl/>
        </w:rPr>
        <w:t xml:space="preserve">ן מקום לחרוג ממתחם העונש. ההתחשבות במצבו של הנאשם תמצא את ביטויה במיקום העונש בתוך המתחם. </w:t>
      </w:r>
    </w:p>
    <w:p w:rsidR="00707B7E" w:rsidRDefault="00707B7E" w:rsidP="00707B7E">
      <w:pPr>
        <w:tabs>
          <w:tab w:val="left" w:pos="509"/>
        </w:tabs>
        <w:spacing w:line="360" w:lineRule="auto"/>
        <w:ind w:left="509" w:hanging="425"/>
        <w:contextualSpacing/>
        <w:jc w:val="both"/>
        <w:rPr>
          <w:rFonts w:ascii="David" w:hAnsi="David" w:cstheme="minorBidi"/>
          <w:sz w:val="22"/>
          <w:szCs w:val="22"/>
          <w:rtl/>
        </w:rPr>
      </w:pPr>
    </w:p>
    <w:p w:rsidR="00707B7E" w:rsidRDefault="00707B7E" w:rsidP="00707B7E">
      <w:pPr>
        <w:tabs>
          <w:tab w:val="left" w:pos="509"/>
        </w:tabs>
        <w:spacing w:line="360" w:lineRule="auto"/>
        <w:ind w:left="509" w:hanging="425"/>
        <w:contextualSpacing/>
        <w:rPr>
          <w:rFonts w:ascii="David" w:hAnsi="David"/>
          <w:b/>
          <w:bCs/>
          <w:rtl/>
        </w:rPr>
      </w:pPr>
      <w:r>
        <w:rPr>
          <w:rFonts w:ascii="David" w:hAnsi="David"/>
          <w:b/>
          <w:bCs/>
          <w:rtl/>
        </w:rPr>
        <w:lastRenderedPageBreak/>
        <w:t>קביעת העונש בתוך המתחם</w:t>
      </w:r>
    </w:p>
    <w:p w:rsidR="00707B7E" w:rsidRDefault="00707B7E" w:rsidP="00707B7E">
      <w:pPr>
        <w:tabs>
          <w:tab w:val="left" w:pos="509"/>
        </w:tabs>
        <w:spacing w:line="360" w:lineRule="auto"/>
        <w:ind w:left="509" w:hanging="425"/>
        <w:contextualSpacing/>
        <w:rPr>
          <w:rFonts w:ascii="David" w:hAnsi="David"/>
          <w:u w:val="single"/>
        </w:rPr>
      </w:pPr>
    </w:p>
    <w:p w:rsidR="00707B7E" w:rsidRDefault="00707B7E" w:rsidP="00707B7E">
      <w:pPr>
        <w:tabs>
          <w:tab w:val="left" w:pos="509"/>
        </w:tabs>
        <w:spacing w:line="360" w:lineRule="auto"/>
        <w:ind w:left="509" w:hanging="425"/>
        <w:contextualSpacing/>
        <w:rPr>
          <w:rFonts w:ascii="David" w:hAnsi="David"/>
          <w:u w:val="single"/>
          <w:rtl/>
        </w:rPr>
      </w:pPr>
      <w:r>
        <w:rPr>
          <w:rFonts w:ascii="David" w:hAnsi="David"/>
          <w:u w:val="single"/>
          <w:rtl/>
        </w:rPr>
        <w:t>הנסיבות שאינן קשורות בביצוע העבירה</w:t>
      </w:r>
      <w:r>
        <w:rPr>
          <w:rFonts w:ascii="David" w:hAnsi="David"/>
          <w:rtl/>
        </w:rPr>
        <w:t>:</w:t>
      </w:r>
    </w:p>
    <w:p w:rsidR="00707B7E" w:rsidRDefault="00707B7E" w:rsidP="00707B7E">
      <w:pPr>
        <w:tabs>
          <w:tab w:val="left" w:pos="509"/>
        </w:tabs>
        <w:spacing w:line="360" w:lineRule="auto"/>
        <w:ind w:left="509" w:hanging="425"/>
        <w:contextualSpacing/>
        <w:rPr>
          <w:rFonts w:ascii="David" w:hAnsi="David"/>
          <w:u w:val="single"/>
          <w:rtl/>
        </w:rPr>
      </w:pPr>
    </w:p>
    <w:p w:rsidR="00707B7E" w:rsidRDefault="00707B7E" w:rsidP="00707B7E">
      <w:pPr>
        <w:numPr>
          <w:ilvl w:val="0"/>
          <w:numId w:val="3"/>
        </w:numPr>
        <w:tabs>
          <w:tab w:val="left" w:pos="509"/>
        </w:tabs>
        <w:spacing w:after="160" w:line="360" w:lineRule="auto"/>
        <w:contextualSpacing/>
        <w:jc w:val="both"/>
        <w:rPr>
          <w:rFonts w:ascii="David" w:hAnsi="David"/>
        </w:rPr>
      </w:pPr>
      <w:r>
        <w:rPr>
          <w:rFonts w:ascii="David" w:hAnsi="David"/>
          <w:rtl/>
        </w:rPr>
        <w:t>הנאשם הוא כבן 79 שנים, ללא עבר פלילי. לאורך השנים ניהל הנאשם אורח חיים נורמטיבי במישור המשפחתי, האישי והתעסוקתי, לרבות פעילות התנדבותית.</w:t>
      </w:r>
    </w:p>
    <w:p w:rsidR="00707B7E" w:rsidRDefault="00707B7E" w:rsidP="00707B7E">
      <w:pPr>
        <w:pStyle w:val="ab"/>
        <w:numPr>
          <w:ilvl w:val="0"/>
          <w:numId w:val="3"/>
        </w:numPr>
        <w:tabs>
          <w:tab w:val="left" w:pos="509"/>
        </w:tabs>
        <w:spacing w:line="360" w:lineRule="auto"/>
        <w:jc w:val="both"/>
        <w:rPr>
          <w:rFonts w:ascii="David" w:hAnsi="David" w:cs="David"/>
          <w:sz w:val="24"/>
          <w:szCs w:val="24"/>
        </w:rPr>
      </w:pPr>
      <w:r>
        <w:rPr>
          <w:rFonts w:ascii="David" w:eastAsia="Times New Roman" w:hAnsi="David" w:cs="David"/>
          <w:noProof/>
          <w:sz w:val="24"/>
          <w:szCs w:val="24"/>
          <w:rtl/>
          <w:lang w:eastAsia="he-IL"/>
        </w:rPr>
        <w:t>כאמור, דחינו את טענת ב"כ הנאשם לחרוג לקולה ממתחם העונש ההולם בשל מצבו הרפואי של הנאשם. ואולם, בקביעת העונש בתוך המתחם, נתנו משקל משמעותי הן לגילו של הנאשם והן למצבו הרפואי, וכפועל יוצא לקושי הכרוך בנשיאת עונש מאסר מאחורי סורג ובריח.</w:t>
      </w:r>
    </w:p>
    <w:p w:rsidR="00707B7E" w:rsidRDefault="00707B7E" w:rsidP="00707B7E">
      <w:pPr>
        <w:numPr>
          <w:ilvl w:val="0"/>
          <w:numId w:val="3"/>
        </w:numPr>
        <w:tabs>
          <w:tab w:val="left" w:pos="509"/>
        </w:tabs>
        <w:spacing w:after="160" w:line="360" w:lineRule="auto"/>
        <w:contextualSpacing/>
        <w:jc w:val="both"/>
        <w:rPr>
          <w:rFonts w:ascii="David" w:hAnsi="David"/>
        </w:rPr>
      </w:pPr>
      <w:r>
        <w:rPr>
          <w:rFonts w:ascii="David" w:hAnsi="David"/>
          <w:rtl/>
        </w:rPr>
        <w:t xml:space="preserve">מצבה הרפואי של אשת הנאשם: כפי שפורט בהכרעת הדין, מדובר באישה שאינה צעירה ומצבה הרפואי מורכב. </w:t>
      </w:r>
    </w:p>
    <w:p w:rsidR="00707B7E" w:rsidRDefault="00707B7E" w:rsidP="00707B7E">
      <w:pPr>
        <w:tabs>
          <w:tab w:val="left" w:pos="509"/>
        </w:tabs>
        <w:spacing w:line="360" w:lineRule="auto"/>
        <w:ind w:left="502"/>
        <w:contextualSpacing/>
        <w:jc w:val="both"/>
        <w:rPr>
          <w:rFonts w:ascii="David" w:hAnsi="David"/>
          <w:rtl/>
        </w:rPr>
      </w:pPr>
      <w:r>
        <w:rPr>
          <w:rFonts w:ascii="David" w:hAnsi="David"/>
          <w:rtl/>
        </w:rPr>
        <w:t>בין הנאשם ובין אשתו, שניהם אנשים שגילם מתקדם, שוררים יחסים קרובים המאופיינים בתלות של הנאשם באשתו ובדאגה הדדית. מתסקיר שירות המבחן עולה חרדה גבוהה מהפרידה הצפויה בין בני הזוג, וזאת כפועל יוצא של ההליך המשפטי והעובדה שהנאשם צפוי לשאת בעונש מאסר. שניהם דואגים זה לזה ומביעים פסימיות על רקע הפרידה הצפויה. נסיבה משפחתית נוספת היא מצבו הרפואי של הבן המתגורר עם הוריו.</w:t>
      </w:r>
    </w:p>
    <w:p w:rsidR="00510A14" w:rsidRDefault="00510A14" w:rsidP="00707B7E">
      <w:pPr>
        <w:tabs>
          <w:tab w:val="left" w:pos="509"/>
        </w:tabs>
        <w:spacing w:line="360" w:lineRule="auto"/>
        <w:ind w:left="502"/>
        <w:contextualSpacing/>
        <w:jc w:val="both"/>
        <w:rPr>
          <w:rFonts w:ascii="David" w:hAnsi="David"/>
          <w:rtl/>
        </w:rPr>
      </w:pPr>
    </w:p>
    <w:p w:rsidR="00707B7E" w:rsidRDefault="00707B7E" w:rsidP="00707B7E">
      <w:pPr>
        <w:pStyle w:val="ab"/>
        <w:numPr>
          <w:ilvl w:val="0"/>
          <w:numId w:val="3"/>
        </w:numPr>
        <w:tabs>
          <w:tab w:val="left" w:pos="509"/>
        </w:tabs>
        <w:spacing w:line="360" w:lineRule="auto"/>
        <w:jc w:val="both"/>
        <w:rPr>
          <w:rFonts w:ascii="David" w:hAnsi="David" w:cs="David"/>
          <w:sz w:val="24"/>
          <w:szCs w:val="24"/>
        </w:rPr>
      </w:pPr>
      <w:r>
        <w:rPr>
          <w:rFonts w:ascii="David" w:hAnsi="David" w:cs="David"/>
          <w:sz w:val="24"/>
          <w:szCs w:val="24"/>
          <w:u w:val="single"/>
          <w:rtl/>
        </w:rPr>
        <w:t>יחסו של הנאשם לעבירה וניהול ההליך המשפטי</w:t>
      </w:r>
      <w:r>
        <w:rPr>
          <w:rFonts w:ascii="David" w:hAnsi="David" w:cs="David"/>
          <w:sz w:val="24"/>
          <w:szCs w:val="24"/>
          <w:rtl/>
        </w:rPr>
        <w:t xml:space="preserve">: מלכתחילה הודה הנאשם בכך שגרם למותו של המנוח, וחלק הארי של הראיות הוגשו בהסכמה. הנאשם העלה טענות הגנה רבות שנדחו על ידי בית המשפט </w:t>
      </w:r>
      <w:r>
        <w:rPr>
          <w:rFonts w:ascii="David" w:hAnsi="David" w:cs="David"/>
          <w:sz w:val="24"/>
          <w:szCs w:val="24"/>
          <w:u w:val="single"/>
          <w:rtl/>
        </w:rPr>
        <w:t>לאחר ניהול הליך ממושך, ומכאן חלוף הזמן</w:t>
      </w:r>
      <w:r>
        <w:rPr>
          <w:rFonts w:ascii="David" w:hAnsi="David" w:cs="David"/>
          <w:sz w:val="24"/>
          <w:szCs w:val="24"/>
          <w:rtl/>
        </w:rPr>
        <w:t>. לצד זה, בסופו של הליך הורשע הנאשם בעבירה של רצח באדישות, ולא ברצח בכוונה כפי שהואשם בכתב האישום, ומכאן שבכל מקרה היה צורך לשמוע ראיות בתיק זה.</w:t>
      </w:r>
    </w:p>
    <w:p w:rsidR="00707B7E" w:rsidRDefault="00707B7E" w:rsidP="00707B7E">
      <w:pPr>
        <w:tabs>
          <w:tab w:val="left" w:pos="509"/>
        </w:tabs>
        <w:spacing w:line="360" w:lineRule="auto"/>
        <w:ind w:left="509"/>
        <w:jc w:val="both"/>
        <w:rPr>
          <w:rFonts w:ascii="David" w:hAnsi="David"/>
        </w:rPr>
      </w:pPr>
      <w:r>
        <w:rPr>
          <w:rFonts w:ascii="David" w:hAnsi="David"/>
          <w:rtl/>
        </w:rPr>
        <w:t xml:space="preserve">בשלב של ניהול ההוכחות, הגם שעצם מעשה ההמתה על ידי הנאשם לא היה שנוי במחלוקת, התרשמנו כי הנאשם היה ממוקד בעצמו, ולא חשנו שהוא מגלה אמפתיה לנפגעי העבירה. ואולם, לאחר ההרשעה בדין, במפגש עם שירות המבחן, ביטא הנאשם צער וחרטה. הנאשם חזר וטען שהוא מתקשה לזכור את כל פרטי האירוע באופן מדויק, וכן התקשה להסביר את הרקע למעשיו ובחירתו ליטול את הנשק מרכבו. הנאשם ביטא כעס כלפי המנוח על התנהלותו כלפי אשתו (של הנאשם) עובר לאירוע. הנאשם ביטא צער וחרטה על השימוש בנשק, כמו גם על התוצאות הטראגיות של מעשיו, שגרמו להרס של שתי המשפחות. לדבריו, בכל יום ויום הוא חושב על המנוח ובנותיו. בבית המשפט, בדבריו לעונש, ביטא הנאשם חרטה על מעשיו וביקש את סליחתם של בני משפחת המנוח. נכון הדבר כי באותה נשימה כרך הנאשם את הטרגדיה של שתי המשפחות: של המנוח ושלו זו בזו, בהסבירו את השבר שחוו הוא ואשתו, אך בסופו של </w:t>
      </w:r>
      <w:r>
        <w:rPr>
          <w:rFonts w:ascii="David" w:hAnsi="David"/>
          <w:rtl/>
        </w:rPr>
        <w:lastRenderedPageBreak/>
        <w:t>דבר אנו שותפים להתרשמות שירות המבחן כי הצער והחרטה שמביע הנאשם על מעשיו שפגעו במשפחת המנוח הם אותנטיים.</w:t>
      </w:r>
    </w:p>
    <w:p w:rsidR="00707B7E" w:rsidRDefault="00707B7E" w:rsidP="00707B7E">
      <w:pPr>
        <w:pStyle w:val="ab"/>
        <w:tabs>
          <w:tab w:val="left" w:pos="509"/>
        </w:tabs>
        <w:spacing w:line="360" w:lineRule="auto"/>
        <w:ind w:left="502"/>
        <w:jc w:val="both"/>
        <w:rPr>
          <w:rFonts w:ascii="David" w:hAnsi="David" w:cs="David"/>
          <w:sz w:val="24"/>
          <w:szCs w:val="24"/>
          <w:u w:val="single"/>
          <w:rtl/>
        </w:rPr>
      </w:pPr>
    </w:p>
    <w:p w:rsidR="00707B7E" w:rsidRDefault="00707B7E" w:rsidP="00707B7E">
      <w:pPr>
        <w:pStyle w:val="ab"/>
        <w:numPr>
          <w:ilvl w:val="0"/>
          <w:numId w:val="3"/>
        </w:numPr>
        <w:tabs>
          <w:tab w:val="left" w:pos="509"/>
        </w:tabs>
        <w:spacing w:line="360" w:lineRule="auto"/>
        <w:jc w:val="both"/>
        <w:rPr>
          <w:rFonts w:ascii="David" w:hAnsi="David" w:cs="David"/>
          <w:sz w:val="24"/>
          <w:szCs w:val="24"/>
          <w:u w:val="single"/>
          <w:rtl/>
        </w:rPr>
      </w:pPr>
      <w:r>
        <w:rPr>
          <w:rFonts w:ascii="David" w:hAnsi="David" w:cs="David"/>
          <w:sz w:val="24"/>
          <w:szCs w:val="24"/>
          <w:u w:val="single"/>
          <w:rtl/>
        </w:rPr>
        <w:t>הרתעת הרבים</w:t>
      </w:r>
      <w:r>
        <w:rPr>
          <w:rFonts w:ascii="David" w:hAnsi="David" w:cs="David"/>
          <w:sz w:val="24"/>
          <w:szCs w:val="24"/>
          <w:rtl/>
        </w:rPr>
        <w:t>: בקביעת עונשו של הנאשם נתנו משקל לצורך בהרתעת הרבים מפני נקיטת אלימות חמורה, ובוודאי ששימוש מהיר ופזיז בנשק חם, על רקע סכסוכים של מה בכך. המקרה דנן ממחיש בצורה כואבת עד כמה היה מותו של המנוח סתמי, מיות</w:t>
      </w:r>
      <w:r w:rsidR="00510A14">
        <w:rPr>
          <w:rFonts w:ascii="David" w:hAnsi="David" w:cs="David"/>
          <w:sz w:val="24"/>
          <w:szCs w:val="24"/>
          <w:rtl/>
        </w:rPr>
        <w:t>ר</w:t>
      </w:r>
      <w:r>
        <w:rPr>
          <w:rFonts w:ascii="David" w:hAnsi="David" w:cs="David"/>
          <w:sz w:val="24"/>
          <w:szCs w:val="24"/>
          <w:rtl/>
        </w:rPr>
        <w:t xml:space="preserve"> והרסני כלפי המשפחה. כפי שפסק בית המשפט העליון (ר' עניין </w:t>
      </w:r>
      <w:r>
        <w:rPr>
          <w:rFonts w:ascii="David" w:hAnsi="David" w:cs="David"/>
          <w:b/>
          <w:bCs/>
          <w:sz w:val="24"/>
          <w:szCs w:val="24"/>
          <w:rtl/>
        </w:rPr>
        <w:t>דהן</w:t>
      </w:r>
      <w:r>
        <w:rPr>
          <w:rFonts w:ascii="David" w:hAnsi="David" w:cs="David"/>
          <w:sz w:val="24"/>
          <w:szCs w:val="24"/>
          <w:rtl/>
        </w:rPr>
        <w:t xml:space="preserve"> לעיל), אין להשלים עם הפיחות הבלתי נסלח בערכם של חיי אדם.</w:t>
      </w:r>
    </w:p>
    <w:p w:rsidR="00707B7E" w:rsidRDefault="00707B7E" w:rsidP="00707B7E">
      <w:pPr>
        <w:pStyle w:val="P000"/>
        <w:spacing w:before="72"/>
        <w:ind w:left="0" w:right="1134"/>
        <w:rPr>
          <w:rFonts w:cs="Miriam"/>
          <w:sz w:val="32"/>
          <w:szCs w:val="32"/>
          <w:rtl/>
        </w:rPr>
      </w:pPr>
    </w:p>
    <w:p w:rsidR="00707B7E" w:rsidRDefault="00707B7E" w:rsidP="00707B7E">
      <w:pPr>
        <w:tabs>
          <w:tab w:val="left" w:pos="509"/>
        </w:tabs>
        <w:spacing w:line="360" w:lineRule="auto"/>
        <w:ind w:left="509" w:hanging="425"/>
        <w:contextualSpacing/>
        <w:rPr>
          <w:rFonts w:ascii="David" w:hAnsi="David"/>
          <w:b/>
          <w:bCs/>
          <w:rtl/>
        </w:rPr>
      </w:pPr>
      <w:r>
        <w:rPr>
          <w:rFonts w:ascii="David" w:hAnsi="David"/>
          <w:b/>
          <w:bCs/>
          <w:rtl/>
        </w:rPr>
        <w:t>הכרעה:</w:t>
      </w:r>
    </w:p>
    <w:p w:rsidR="00851333" w:rsidRDefault="00851333" w:rsidP="00707B7E">
      <w:pPr>
        <w:tabs>
          <w:tab w:val="left" w:pos="509"/>
        </w:tabs>
        <w:spacing w:line="360" w:lineRule="auto"/>
        <w:ind w:left="509" w:hanging="425"/>
        <w:contextualSpacing/>
        <w:rPr>
          <w:rFonts w:ascii="David" w:hAnsi="David"/>
          <w:b/>
          <w:bCs/>
          <w:rtl/>
        </w:rPr>
      </w:pPr>
    </w:p>
    <w:p w:rsidR="00707B7E" w:rsidRDefault="00707B7E" w:rsidP="00707B7E">
      <w:pPr>
        <w:pStyle w:val="ab"/>
        <w:numPr>
          <w:ilvl w:val="0"/>
          <w:numId w:val="3"/>
        </w:numPr>
        <w:tabs>
          <w:tab w:val="left" w:pos="509"/>
        </w:tabs>
        <w:spacing w:line="360" w:lineRule="auto"/>
        <w:jc w:val="both"/>
        <w:rPr>
          <w:rFonts w:ascii="David" w:hAnsi="David" w:cs="David"/>
          <w:sz w:val="24"/>
          <w:szCs w:val="24"/>
          <w:u w:val="single"/>
        </w:rPr>
      </w:pPr>
      <w:r>
        <w:rPr>
          <w:rFonts w:ascii="David" w:hAnsi="David" w:cs="David"/>
          <w:sz w:val="24"/>
          <w:szCs w:val="24"/>
          <w:u w:val="single"/>
          <w:rtl/>
        </w:rPr>
        <w:t>בהתחשב בכל השיקולים, החלטנו למקם את עונשו של הנאשם בשליש התחתון של מתחם העונש, אך לא בקצהו התחתון של המתחם.</w:t>
      </w:r>
    </w:p>
    <w:p w:rsidR="00707B7E" w:rsidRDefault="00707B7E" w:rsidP="00707B7E">
      <w:pPr>
        <w:tabs>
          <w:tab w:val="left" w:pos="509"/>
        </w:tabs>
        <w:spacing w:line="360" w:lineRule="auto"/>
        <w:ind w:left="509" w:hanging="425"/>
        <w:contextualSpacing/>
        <w:jc w:val="both"/>
        <w:rPr>
          <w:rFonts w:ascii="David" w:hAnsi="David"/>
          <w:highlight w:val="green"/>
          <w:rtl/>
        </w:rPr>
      </w:pPr>
    </w:p>
    <w:p w:rsidR="00707B7E" w:rsidRDefault="00707B7E" w:rsidP="00707B7E">
      <w:pPr>
        <w:numPr>
          <w:ilvl w:val="0"/>
          <w:numId w:val="3"/>
        </w:numPr>
        <w:tabs>
          <w:tab w:val="left" w:pos="509"/>
        </w:tabs>
        <w:spacing w:after="160" w:line="360" w:lineRule="auto"/>
        <w:contextualSpacing/>
        <w:jc w:val="both"/>
        <w:rPr>
          <w:rFonts w:ascii="David" w:hAnsi="David"/>
          <w:rtl/>
        </w:rPr>
      </w:pPr>
      <w:r>
        <w:rPr>
          <w:rFonts w:ascii="David" w:hAnsi="David"/>
          <w:rtl/>
        </w:rPr>
        <w:t>לפיכך אנו גוזרים על הנאשם את העונשים הבאים:</w:t>
      </w:r>
    </w:p>
    <w:p w:rsidR="00707B7E" w:rsidRDefault="00707B7E" w:rsidP="00707B7E">
      <w:pPr>
        <w:pStyle w:val="ab"/>
        <w:numPr>
          <w:ilvl w:val="0"/>
          <w:numId w:val="6"/>
        </w:numPr>
        <w:spacing w:line="360" w:lineRule="auto"/>
        <w:ind w:left="935" w:hanging="284"/>
        <w:jc w:val="both"/>
        <w:rPr>
          <w:rFonts w:ascii="David" w:hAnsi="David" w:cs="David"/>
          <w:sz w:val="24"/>
          <w:szCs w:val="24"/>
        </w:rPr>
      </w:pPr>
      <w:r>
        <w:rPr>
          <w:rFonts w:ascii="David" w:hAnsi="David" w:cs="David"/>
          <w:sz w:val="24"/>
          <w:szCs w:val="24"/>
          <w:rtl/>
        </w:rPr>
        <w:t xml:space="preserve">מאסר בפועל למשך 18 שנים, בניכוי ימי המעצר (מיום 28.7.19 עד ליום </w:t>
      </w:r>
      <w:r w:rsidRPr="00510A14">
        <w:rPr>
          <w:rFonts w:ascii="David" w:hAnsi="David" w:cs="David"/>
          <w:sz w:val="24"/>
          <w:szCs w:val="24"/>
          <w:rtl/>
        </w:rPr>
        <w:t>4.2.20)</w:t>
      </w:r>
      <w:r>
        <w:rPr>
          <w:rFonts w:ascii="David" w:hAnsi="David" w:cs="David"/>
          <w:sz w:val="24"/>
          <w:szCs w:val="24"/>
          <w:rtl/>
        </w:rPr>
        <w:t>.</w:t>
      </w:r>
    </w:p>
    <w:p w:rsidR="00707B7E" w:rsidRDefault="00707B7E" w:rsidP="00707B7E">
      <w:pPr>
        <w:pStyle w:val="ab"/>
        <w:numPr>
          <w:ilvl w:val="0"/>
          <w:numId w:val="6"/>
        </w:numPr>
        <w:spacing w:line="360" w:lineRule="auto"/>
        <w:ind w:left="935" w:hanging="284"/>
        <w:jc w:val="both"/>
        <w:rPr>
          <w:rFonts w:ascii="David" w:hAnsi="David" w:cs="David"/>
          <w:sz w:val="24"/>
          <w:szCs w:val="24"/>
        </w:rPr>
      </w:pPr>
      <w:r>
        <w:rPr>
          <w:rFonts w:ascii="David" w:hAnsi="David" w:cs="David"/>
          <w:sz w:val="24"/>
          <w:szCs w:val="24"/>
          <w:rtl/>
        </w:rPr>
        <w:t>מאסר על תנאי למשך 12 חודשים, והנאשם לא יישא עונש זה אלא אם יעבור בתוך 3 שנים מיום שחרורו עבירת אלימות מסוג פשע.</w:t>
      </w:r>
    </w:p>
    <w:p w:rsidR="00707B7E" w:rsidRDefault="00707B7E" w:rsidP="00707B7E">
      <w:pPr>
        <w:pStyle w:val="ab"/>
        <w:numPr>
          <w:ilvl w:val="0"/>
          <w:numId w:val="6"/>
        </w:numPr>
        <w:spacing w:line="360" w:lineRule="auto"/>
        <w:ind w:left="935" w:hanging="284"/>
        <w:jc w:val="both"/>
        <w:rPr>
          <w:rFonts w:ascii="David" w:hAnsi="David" w:cs="David"/>
          <w:sz w:val="24"/>
          <w:szCs w:val="24"/>
        </w:rPr>
      </w:pPr>
      <w:r>
        <w:rPr>
          <w:rFonts w:ascii="David" w:hAnsi="David" w:cs="David"/>
          <w:sz w:val="24"/>
          <w:szCs w:val="24"/>
          <w:rtl/>
        </w:rPr>
        <w:t xml:space="preserve">פיצוי לנפגעי העבירה בסך של 258,000 ₪, בחלוקה, כדלקמן: </w:t>
      </w:r>
    </w:p>
    <w:p w:rsidR="00707B7E" w:rsidRDefault="00707B7E" w:rsidP="00707B7E">
      <w:pPr>
        <w:spacing w:line="360" w:lineRule="auto"/>
        <w:ind w:left="215" w:firstLine="720"/>
        <w:jc w:val="both"/>
        <w:rPr>
          <w:rFonts w:ascii="David" w:hAnsi="David"/>
        </w:rPr>
      </w:pPr>
      <w:r>
        <w:rPr>
          <w:rFonts w:ascii="David" w:hAnsi="David"/>
          <w:rtl/>
        </w:rPr>
        <w:t>סך של 228,000 ₪ יחולק בחלקים שווים בין שלוש בנותיו הקטינות של המנוח.</w:t>
      </w:r>
    </w:p>
    <w:p w:rsidR="00707B7E" w:rsidRDefault="00707B7E" w:rsidP="00707B7E">
      <w:pPr>
        <w:spacing w:line="360" w:lineRule="auto"/>
        <w:ind w:left="935"/>
        <w:jc w:val="both"/>
        <w:rPr>
          <w:rFonts w:ascii="David" w:hAnsi="David"/>
          <w:rtl/>
        </w:rPr>
      </w:pPr>
      <w:r>
        <w:rPr>
          <w:rFonts w:ascii="David" w:hAnsi="David"/>
          <w:rtl/>
        </w:rPr>
        <w:t>סך של 30,000 ₪ לאמו של המנוח.</w:t>
      </w:r>
    </w:p>
    <w:p w:rsidR="00D9162C" w:rsidRDefault="00D9162C" w:rsidP="00D9162C">
      <w:pPr>
        <w:spacing w:line="360" w:lineRule="auto"/>
        <w:ind w:left="935"/>
        <w:jc w:val="both"/>
        <w:rPr>
          <w:rFonts w:ascii="David" w:hAnsi="David"/>
          <w:rtl/>
        </w:rPr>
      </w:pPr>
    </w:p>
    <w:p w:rsidR="00707B7E" w:rsidRDefault="00707B7E" w:rsidP="00D9162C">
      <w:pPr>
        <w:spacing w:line="360" w:lineRule="auto"/>
        <w:ind w:left="935"/>
        <w:jc w:val="both"/>
        <w:rPr>
          <w:rFonts w:ascii="David" w:hAnsi="David"/>
          <w:rtl/>
        </w:rPr>
      </w:pPr>
      <w:r>
        <w:rPr>
          <w:rFonts w:ascii="David" w:hAnsi="David"/>
          <w:rtl/>
        </w:rPr>
        <w:t>אמן של הקטינות (האפוטרופסית שלהן) תפתח לכל אחת מהקטינות חשבון בנק שבו יופקדו כספי הפיצוי שנפסקו לטובת הקטינה.</w:t>
      </w:r>
    </w:p>
    <w:p w:rsidR="00707B7E" w:rsidRDefault="00707B7E" w:rsidP="00D9162C">
      <w:pPr>
        <w:spacing w:line="360" w:lineRule="auto"/>
        <w:ind w:left="935"/>
        <w:jc w:val="both"/>
        <w:rPr>
          <w:rFonts w:ascii="David" w:hAnsi="David"/>
          <w:rtl/>
        </w:rPr>
      </w:pPr>
      <w:r>
        <w:rPr>
          <w:rFonts w:ascii="David" w:hAnsi="David"/>
          <w:rtl/>
        </w:rPr>
        <w:t>לגבי הקטינה י', יוחזקו הכספים על ידי האם (כאפוטרופסית של י') עד היותה בגירה. בתקופת הקטינות ניתן לעשות שימוש בכסף אך ורק לצורך טיפול נפשי לקטינה, כנגד הצגת קבלה.</w:t>
      </w:r>
    </w:p>
    <w:p w:rsidR="00707B7E" w:rsidRDefault="00707B7E" w:rsidP="00D9162C">
      <w:pPr>
        <w:spacing w:line="360" w:lineRule="auto"/>
        <w:ind w:left="935"/>
        <w:jc w:val="both"/>
        <w:rPr>
          <w:rFonts w:ascii="David" w:hAnsi="David"/>
          <w:rtl/>
        </w:rPr>
      </w:pPr>
      <w:r>
        <w:rPr>
          <w:rFonts w:ascii="David" w:hAnsi="David"/>
          <w:rtl/>
        </w:rPr>
        <w:t>לגבי שתי אחיותיה, בעלות הצרכים המיוחדים, השימוש בכספים יעשה בכפוף להוראות הדין.</w:t>
      </w:r>
    </w:p>
    <w:p w:rsidR="00851333" w:rsidRDefault="00851333" w:rsidP="008C1AB2">
      <w:pPr>
        <w:spacing w:line="360" w:lineRule="auto"/>
        <w:ind w:left="935"/>
        <w:jc w:val="both"/>
        <w:rPr>
          <w:rFonts w:ascii="David" w:hAnsi="David"/>
          <w:rtl/>
        </w:rPr>
      </w:pPr>
    </w:p>
    <w:p w:rsidR="00707B7E" w:rsidRDefault="00707B7E" w:rsidP="008C1AB2">
      <w:pPr>
        <w:spacing w:line="360" w:lineRule="auto"/>
        <w:ind w:left="935"/>
        <w:jc w:val="both"/>
        <w:rPr>
          <w:rFonts w:ascii="David" w:hAnsi="David"/>
          <w:rtl/>
        </w:rPr>
      </w:pPr>
      <w:r>
        <w:rPr>
          <w:rFonts w:ascii="David" w:hAnsi="David"/>
          <w:rtl/>
        </w:rPr>
        <w:t xml:space="preserve">הפיצוי יופקד בקופת בית המשפט לא יאוחר מיום </w:t>
      </w:r>
      <w:r w:rsidR="008C1AB2" w:rsidRPr="00510A14">
        <w:rPr>
          <w:rFonts w:ascii="David" w:hAnsi="David" w:hint="cs"/>
          <w:rtl/>
        </w:rPr>
        <w:t>8.9.24</w:t>
      </w:r>
      <w:r w:rsidRPr="00510A14">
        <w:rPr>
          <w:rFonts w:ascii="David" w:hAnsi="David"/>
          <w:rtl/>
        </w:rPr>
        <w:t>.</w:t>
      </w:r>
      <w:r>
        <w:rPr>
          <w:rFonts w:ascii="David" w:hAnsi="David"/>
          <w:rtl/>
        </w:rPr>
        <w:t xml:space="preserve"> ב"כ המאשימה תעביר למזכירות בית המשפט את פרטי נפגעי העבירה. </w:t>
      </w:r>
    </w:p>
    <w:p w:rsidR="00D9162C" w:rsidRDefault="00D9162C" w:rsidP="00707B7E">
      <w:pPr>
        <w:tabs>
          <w:tab w:val="left" w:pos="509"/>
        </w:tabs>
        <w:spacing w:line="360" w:lineRule="auto"/>
        <w:ind w:left="509"/>
        <w:contextualSpacing/>
        <w:jc w:val="both"/>
        <w:rPr>
          <w:rFonts w:ascii="David" w:hAnsi="David"/>
          <w:rtl/>
        </w:rPr>
      </w:pPr>
    </w:p>
    <w:p w:rsidR="00707B7E" w:rsidRDefault="00707B7E" w:rsidP="00707B7E">
      <w:pPr>
        <w:tabs>
          <w:tab w:val="left" w:pos="509"/>
        </w:tabs>
        <w:spacing w:line="360" w:lineRule="auto"/>
        <w:ind w:left="509"/>
        <w:contextualSpacing/>
        <w:jc w:val="both"/>
        <w:rPr>
          <w:rFonts w:ascii="David" w:hAnsi="David"/>
          <w:rtl/>
        </w:rPr>
      </w:pPr>
      <w:r>
        <w:rPr>
          <w:rFonts w:ascii="David" w:hAnsi="David"/>
          <w:rtl/>
        </w:rPr>
        <w:t xml:space="preserve">אנו מפנים את תשומת לב הגורמים המוסמכים בשב"ס לגילו של הנאשם ולמצבו הרפואי. יש לדאוג שייבדק על ידי רופא ויוענק לו הטיפול הנדרש. </w:t>
      </w:r>
    </w:p>
    <w:p w:rsidR="00707B7E" w:rsidRDefault="00707B7E" w:rsidP="00707B7E">
      <w:pPr>
        <w:tabs>
          <w:tab w:val="left" w:pos="509"/>
        </w:tabs>
        <w:spacing w:line="360" w:lineRule="auto"/>
        <w:ind w:left="502"/>
        <w:contextualSpacing/>
        <w:jc w:val="both"/>
        <w:rPr>
          <w:rFonts w:ascii="David" w:hAnsi="David"/>
          <w:highlight w:val="yellow"/>
          <w:rtl/>
        </w:rPr>
      </w:pPr>
    </w:p>
    <w:p w:rsidR="00707B7E" w:rsidRDefault="00707B7E" w:rsidP="00707B7E">
      <w:pPr>
        <w:tabs>
          <w:tab w:val="left" w:pos="509"/>
        </w:tabs>
        <w:spacing w:line="360" w:lineRule="auto"/>
        <w:ind w:left="509" w:hanging="425"/>
        <w:contextualSpacing/>
        <w:jc w:val="both"/>
        <w:rPr>
          <w:rFonts w:ascii="David" w:hAnsi="David"/>
          <w:rtl/>
        </w:rPr>
      </w:pPr>
      <w:r>
        <w:rPr>
          <w:rFonts w:ascii="David" w:hAnsi="David"/>
          <w:b/>
          <w:bCs/>
          <w:rtl/>
        </w:rPr>
        <w:t>זכות ערעור לבית המשפט העליון בתוך 45 יום מהיום</w:t>
      </w:r>
      <w:r>
        <w:rPr>
          <w:rFonts w:ascii="David" w:hAnsi="David"/>
          <w:rtl/>
        </w:rPr>
        <w:t>.</w:t>
      </w:r>
    </w:p>
    <w:p w:rsidR="00707B7E" w:rsidRDefault="00707B7E" w:rsidP="00707B7E">
      <w:pPr>
        <w:tabs>
          <w:tab w:val="left" w:pos="509"/>
        </w:tabs>
        <w:spacing w:line="360" w:lineRule="auto"/>
        <w:ind w:left="509" w:hanging="425"/>
        <w:contextualSpacing/>
        <w:jc w:val="both"/>
        <w:rPr>
          <w:rFonts w:ascii="David" w:hAnsi="David"/>
          <w:highlight w:val="yellow"/>
        </w:rPr>
      </w:pPr>
    </w:p>
    <w:p w:rsidR="00507694" w:rsidRPr="000F2247" w:rsidRDefault="00507694">
      <w:pPr>
        <w:rPr>
          <w:rFonts w:ascii="Arial" w:hAnsi="Arial"/>
          <w:b/>
          <w:bCs/>
          <w:sz w:val="26"/>
          <w:szCs w:val="26"/>
          <w:rtl/>
        </w:rPr>
      </w:pPr>
    </w:p>
    <w:p w:rsidR="00ED4465" w:rsidRPr="00E973D8" w:rsidRDefault="00684E84" w:rsidP="00FC3179">
      <w:pPr>
        <w:spacing w:line="360" w:lineRule="auto"/>
        <w:jc w:val="both"/>
        <w:rPr>
          <w:rFonts w:ascii="Arial" w:hAnsi="Arial"/>
          <w:b/>
          <w:bCs/>
          <w:rtl/>
        </w:rPr>
      </w:pPr>
      <w:r w:rsidRPr="00E973D8">
        <w:rPr>
          <w:rFonts w:ascii="Arial" w:hAnsi="Arial"/>
          <w:b/>
          <w:bCs/>
          <w:rtl/>
        </w:rPr>
        <w:t xml:space="preserve">ניתן היום,  </w:t>
      </w:r>
      <w:sdt>
        <w:sdtPr>
          <w:rPr>
            <w:rFonts w:ascii="Arial" w:hAnsi="Arial"/>
            <w:b/>
            <w:bCs/>
            <w:rtl/>
          </w:rPr>
          <w:alias w:val="1455"/>
          <w:tag w:val="1455"/>
          <w:id w:val="-750497047"/>
          <w:text w:multiLine="1"/>
        </w:sdtPr>
        <w:sdtEndPr/>
        <w:sdtContent>
          <w:r>
            <w:rPr>
              <w:rFonts w:ascii="Arial" w:hAnsi="Arial"/>
              <w:b/>
              <w:bCs/>
              <w:rtl/>
            </w:rPr>
            <w:t>כ"ז אייר תשפ"ד</w:t>
          </w:r>
        </w:sdtContent>
      </w:sdt>
      <w:r w:rsidRPr="00E973D8">
        <w:rPr>
          <w:rFonts w:ascii="Arial" w:hAnsi="Arial"/>
          <w:b/>
          <w:bCs/>
          <w:rtl/>
        </w:rPr>
        <w:t xml:space="preserve">, </w:t>
      </w:r>
      <w:sdt>
        <w:sdtPr>
          <w:rPr>
            <w:rFonts w:ascii="Arial" w:hAnsi="Arial"/>
            <w:b/>
            <w:bCs/>
            <w:rtl/>
          </w:rPr>
          <w:alias w:val="1456"/>
          <w:tag w:val="1456"/>
          <w:id w:val="367718347"/>
          <w:text w:multiLine="1"/>
        </w:sdtPr>
        <w:sdtEndPr/>
        <w:sdtContent>
          <w:r>
            <w:rPr>
              <w:rFonts w:ascii="Arial" w:hAnsi="Arial"/>
              <w:b/>
              <w:bCs/>
              <w:rtl/>
            </w:rPr>
            <w:t>04 יוני 2024</w:t>
          </w:r>
        </w:sdtContent>
      </w:sdt>
      <w:r w:rsidRPr="00E973D8">
        <w:rPr>
          <w:rFonts w:ascii="Arial" w:hAnsi="Arial"/>
          <w:b/>
          <w:bCs/>
          <w:rtl/>
        </w:rPr>
        <w:t>, ב</w:t>
      </w:r>
      <w:r w:rsidR="00FC3179" w:rsidRPr="00E973D8">
        <w:rPr>
          <w:rFonts w:ascii="Arial" w:hAnsi="Arial" w:hint="cs"/>
          <w:b/>
          <w:bCs/>
          <w:rtl/>
        </w:rPr>
        <w:t>מעמד</w:t>
      </w:r>
      <w:r w:rsidRPr="00E973D8">
        <w:rPr>
          <w:rFonts w:ascii="Arial" w:hAnsi="Arial"/>
          <w:b/>
          <w:bCs/>
          <w:rtl/>
        </w:rPr>
        <w:t xml:space="preserve"> הצדדים.</w:t>
      </w:r>
    </w:p>
    <w:tbl>
      <w:tblPr>
        <w:tblStyle w:val="a8"/>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26"/>
        <w:gridCol w:w="359"/>
        <w:gridCol w:w="2402"/>
        <w:gridCol w:w="345"/>
        <w:gridCol w:w="2572"/>
      </w:tblGrid>
      <w:tr w:rsidR="00E6406B" w:rsidTr="00E6406B">
        <w:trPr>
          <w:trHeight w:val="1850"/>
        </w:trPr>
        <w:tc>
          <w:tcPr>
            <w:tcW w:w="2826" w:type="dxa"/>
            <w:tcBorders>
              <w:top w:val="nil"/>
              <w:left w:val="nil"/>
              <w:bottom w:val="single" w:sz="4" w:space="0" w:color="auto"/>
              <w:right w:val="nil"/>
            </w:tcBorders>
            <w:vAlign w:val="bottom"/>
            <w:hideMark/>
          </w:tcPr>
          <w:p w:rsidR="00E6406B" w:rsidRDefault="00E6406B" w:rsidP="00E973D8">
            <w:pPr>
              <w:jc w:val="center"/>
              <w:rPr>
                <w:rFonts w:ascii="Courier New" w:hAnsi="Courier New"/>
                <w:b/>
                <w:bCs/>
              </w:rPr>
            </w:pPr>
            <w:r>
              <w:rPr>
                <w:rFonts w:ascii="David" w:hAnsi="David"/>
                <w:noProof/>
              </w:rPr>
              <w:drawing>
                <wp:inline distT="0" distB="0" distL="0" distR="0">
                  <wp:extent cx="628650" cy="774700"/>
                  <wp:effectExtent l="0" t="0" r="0" b="635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9">
                            <a:lum bright="12000"/>
                            <a:extLst>
                              <a:ext uri="{28A0092B-C50C-407E-A947-70E740481C1C}">
                                <a14:useLocalDpi xmlns:a14="http://schemas.microsoft.com/office/drawing/2010/main" val="0"/>
                              </a:ext>
                            </a:extLst>
                          </a:blip>
                          <a:srcRect/>
                          <a:stretch>
                            <a:fillRect/>
                          </a:stretch>
                        </pic:blipFill>
                        <pic:spPr bwMode="auto">
                          <a:xfrm>
                            <a:off x="0" y="0"/>
                            <a:ext cx="628650" cy="774700"/>
                          </a:xfrm>
                          <a:prstGeom prst="rect">
                            <a:avLst/>
                          </a:prstGeom>
                          <a:noFill/>
                          <a:ln>
                            <a:noFill/>
                          </a:ln>
                        </pic:spPr>
                      </pic:pic>
                    </a:graphicData>
                  </a:graphic>
                </wp:inline>
              </w:drawing>
            </w:r>
          </w:p>
        </w:tc>
        <w:tc>
          <w:tcPr>
            <w:tcW w:w="359" w:type="dxa"/>
            <w:vAlign w:val="bottom"/>
          </w:tcPr>
          <w:p w:rsidR="00E6406B" w:rsidRDefault="00E6406B">
            <w:pPr>
              <w:jc w:val="center"/>
              <w:rPr>
                <w:rFonts w:ascii="Courier New" w:hAnsi="Courier New"/>
                <w:b/>
                <w:bCs/>
              </w:rPr>
            </w:pPr>
          </w:p>
        </w:tc>
        <w:tc>
          <w:tcPr>
            <w:tcW w:w="2402" w:type="dxa"/>
            <w:tcBorders>
              <w:top w:val="nil"/>
              <w:left w:val="nil"/>
              <w:bottom w:val="single" w:sz="4" w:space="0" w:color="auto"/>
              <w:right w:val="nil"/>
            </w:tcBorders>
            <w:vAlign w:val="bottom"/>
            <w:hideMark/>
          </w:tcPr>
          <w:p w:rsidR="00E6406B" w:rsidRDefault="00E6406B">
            <w:pPr>
              <w:jc w:val="center"/>
              <w:rPr>
                <w:rFonts w:ascii="Courier New" w:hAnsi="Courier New"/>
                <w:b/>
                <w:bCs/>
              </w:rPr>
            </w:pPr>
            <w:r>
              <w:rPr>
                <w:rFonts w:ascii="David" w:hAnsi="David"/>
                <w:noProof/>
              </w:rPr>
              <w:drawing>
                <wp:inline distT="0" distB="0" distL="0" distR="0">
                  <wp:extent cx="850900" cy="812800"/>
                  <wp:effectExtent l="0" t="0" r="6350" b="635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50900" cy="812800"/>
                          </a:xfrm>
                          <a:prstGeom prst="rect">
                            <a:avLst/>
                          </a:prstGeom>
                          <a:noFill/>
                          <a:ln>
                            <a:noFill/>
                          </a:ln>
                        </pic:spPr>
                      </pic:pic>
                    </a:graphicData>
                  </a:graphic>
                </wp:inline>
              </w:drawing>
            </w:r>
          </w:p>
        </w:tc>
        <w:tc>
          <w:tcPr>
            <w:tcW w:w="345" w:type="dxa"/>
            <w:vAlign w:val="bottom"/>
          </w:tcPr>
          <w:p w:rsidR="00E6406B" w:rsidRDefault="00E6406B">
            <w:pPr>
              <w:jc w:val="center"/>
              <w:rPr>
                <w:rFonts w:ascii="Courier New" w:hAnsi="Courier New"/>
                <w:b/>
                <w:bCs/>
              </w:rPr>
            </w:pPr>
          </w:p>
        </w:tc>
        <w:tc>
          <w:tcPr>
            <w:tcW w:w="2572" w:type="dxa"/>
            <w:tcBorders>
              <w:top w:val="nil"/>
              <w:left w:val="nil"/>
              <w:bottom w:val="single" w:sz="4" w:space="0" w:color="auto"/>
              <w:right w:val="nil"/>
            </w:tcBorders>
            <w:vAlign w:val="bottom"/>
            <w:hideMark/>
          </w:tcPr>
          <w:p w:rsidR="00E6406B" w:rsidRDefault="00E6406B">
            <w:pPr>
              <w:jc w:val="center"/>
              <w:rPr>
                <w:rFonts w:ascii="Courier New" w:hAnsi="Courier New"/>
                <w:b/>
                <w:bCs/>
                <w:sz w:val="20"/>
                <w:szCs w:val="20"/>
              </w:rPr>
            </w:pPr>
            <w:r>
              <w:rPr>
                <w:rFonts w:ascii="David" w:hAnsi="David"/>
                <w:noProof/>
              </w:rPr>
              <w:drawing>
                <wp:inline distT="0" distB="0" distL="0" distR="0">
                  <wp:extent cx="1009650" cy="819150"/>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09650" cy="819150"/>
                          </a:xfrm>
                          <a:prstGeom prst="rect">
                            <a:avLst/>
                          </a:prstGeom>
                          <a:noFill/>
                          <a:ln>
                            <a:noFill/>
                          </a:ln>
                        </pic:spPr>
                      </pic:pic>
                    </a:graphicData>
                  </a:graphic>
                </wp:inline>
              </w:drawing>
            </w:r>
          </w:p>
        </w:tc>
      </w:tr>
      <w:tr w:rsidR="00E6406B" w:rsidTr="00E6406B">
        <w:tc>
          <w:tcPr>
            <w:tcW w:w="2826" w:type="dxa"/>
            <w:tcBorders>
              <w:top w:val="single" w:sz="4" w:space="0" w:color="auto"/>
              <w:left w:val="nil"/>
              <w:bottom w:val="nil"/>
              <w:right w:val="nil"/>
            </w:tcBorders>
            <w:vAlign w:val="bottom"/>
            <w:hideMark/>
          </w:tcPr>
          <w:p w:rsidR="00E6406B" w:rsidRDefault="00E6406B">
            <w:pPr>
              <w:jc w:val="center"/>
              <w:rPr>
                <w:rFonts w:ascii="Courier New" w:hAnsi="Courier New"/>
                <w:b/>
                <w:bCs/>
              </w:rPr>
            </w:pPr>
            <w:r>
              <w:rPr>
                <w:rFonts w:ascii="Courier New" w:hAnsi="Courier New"/>
                <w:b/>
                <w:bCs/>
                <w:rtl/>
              </w:rPr>
              <w:t>ליאורה ברודי, שופטת</w:t>
            </w:r>
          </w:p>
          <w:p w:rsidR="00E6406B" w:rsidRDefault="00E6406B">
            <w:pPr>
              <w:jc w:val="center"/>
              <w:rPr>
                <w:rFonts w:ascii="Courier New" w:hAnsi="Courier New"/>
                <w:b/>
                <w:bCs/>
                <w:rtl/>
              </w:rPr>
            </w:pPr>
            <w:r>
              <w:rPr>
                <w:rFonts w:ascii="Courier New" w:hAnsi="Courier New"/>
                <w:b/>
                <w:bCs/>
                <w:rtl/>
              </w:rPr>
              <w:t xml:space="preserve">סג"נ, אב"ד </w:t>
            </w:r>
          </w:p>
        </w:tc>
        <w:tc>
          <w:tcPr>
            <w:tcW w:w="359" w:type="dxa"/>
            <w:vAlign w:val="bottom"/>
          </w:tcPr>
          <w:p w:rsidR="00E6406B" w:rsidRDefault="00E6406B">
            <w:pPr>
              <w:jc w:val="center"/>
              <w:rPr>
                <w:rFonts w:ascii="Courier New" w:hAnsi="Courier New"/>
                <w:b/>
                <w:bCs/>
              </w:rPr>
            </w:pPr>
          </w:p>
        </w:tc>
        <w:tc>
          <w:tcPr>
            <w:tcW w:w="2402" w:type="dxa"/>
            <w:tcBorders>
              <w:top w:val="single" w:sz="4" w:space="0" w:color="auto"/>
              <w:left w:val="nil"/>
              <w:bottom w:val="nil"/>
              <w:right w:val="nil"/>
            </w:tcBorders>
            <w:hideMark/>
          </w:tcPr>
          <w:p w:rsidR="00E6406B" w:rsidRDefault="00E6406B">
            <w:pPr>
              <w:spacing w:after="160" w:line="256" w:lineRule="auto"/>
              <w:jc w:val="center"/>
              <w:rPr>
                <w:rFonts w:ascii="David" w:hAnsi="David"/>
                <w:b/>
                <w:bCs/>
              </w:rPr>
            </w:pPr>
            <w:r>
              <w:rPr>
                <w:rFonts w:ascii="David" w:hAnsi="David"/>
                <w:b/>
                <w:bCs/>
                <w:rtl/>
              </w:rPr>
              <w:t>מיכל ברק-נבו, שופטת</w:t>
            </w:r>
          </w:p>
        </w:tc>
        <w:tc>
          <w:tcPr>
            <w:tcW w:w="345" w:type="dxa"/>
          </w:tcPr>
          <w:p w:rsidR="00E6406B" w:rsidRDefault="00E6406B">
            <w:pPr>
              <w:jc w:val="center"/>
              <w:rPr>
                <w:rFonts w:ascii="Courier New" w:hAnsi="Courier New"/>
                <w:b/>
                <w:bCs/>
              </w:rPr>
            </w:pPr>
          </w:p>
        </w:tc>
        <w:tc>
          <w:tcPr>
            <w:tcW w:w="2572" w:type="dxa"/>
            <w:tcBorders>
              <w:top w:val="single" w:sz="4" w:space="0" w:color="auto"/>
              <w:left w:val="nil"/>
              <w:bottom w:val="nil"/>
              <w:right w:val="nil"/>
            </w:tcBorders>
            <w:hideMark/>
          </w:tcPr>
          <w:p w:rsidR="00E6406B" w:rsidRDefault="00E6406B">
            <w:pPr>
              <w:jc w:val="center"/>
              <w:rPr>
                <w:rFonts w:ascii="Courier New" w:hAnsi="Courier New"/>
                <w:b/>
                <w:bCs/>
              </w:rPr>
            </w:pPr>
            <w:r>
              <w:rPr>
                <w:rFonts w:ascii="David" w:hAnsi="David"/>
                <w:b/>
                <w:bCs/>
                <w:rtl/>
              </w:rPr>
              <w:t>מיכאל תמיר, שופט</w:t>
            </w:r>
          </w:p>
        </w:tc>
      </w:tr>
    </w:tbl>
    <w:p w:rsidR="00507694" w:rsidRPr="000F2247" w:rsidRDefault="00ED4465" w:rsidP="00FC3179">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p>
    <w:sectPr w:rsidR="00507694" w:rsidRPr="000F2247" w:rsidSect="00507694">
      <w:headerReference w:type="even" r:id="rId22"/>
      <w:headerReference w:type="default" r:id="rId23"/>
      <w:footerReference w:type="even" r:id="rId24"/>
      <w:footerReference w:type="default" r:id="rId25"/>
      <w:headerReference w:type="first" r:id="rId26"/>
      <w:footerReference w:type="first" r:id="rId27"/>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4BB9" w:rsidRDefault="009E4BB9">
      <w:r>
        <w:separator/>
      </w:r>
    </w:p>
  </w:endnote>
  <w:endnote w:type="continuationSeparator" w:id="0">
    <w:p w:rsidR="009E4BB9" w:rsidRDefault="009E4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iriam">
    <w:panose1 w:val="020B050205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994298">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994298">
      <w:rPr>
        <w:noProof/>
        <w:rtl/>
      </w:rPr>
      <w:t>31</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0659" w:rsidRDefault="00D4065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4BB9" w:rsidRDefault="009E4BB9">
      <w:r>
        <w:separator/>
      </w:r>
    </w:p>
  </w:footnote>
  <w:footnote w:type="continuationSeparator" w:id="0">
    <w:p w:rsidR="009E4BB9" w:rsidRDefault="009E4B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0659" w:rsidRDefault="00D4065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36"/>
      <w:gridCol w:w="3569"/>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המשפט המחוזי מרכז-לוד</w:t>
              </w:r>
            </w:p>
          </w:tc>
        </w:sdtContent>
      </w:sdt>
    </w:tr>
    <w:tr w:rsidR="00507694">
      <w:trPr>
        <w:trHeight w:val="337"/>
        <w:jc w:val="center"/>
      </w:trPr>
      <w:tc>
        <w:tcPr>
          <w:tcW w:w="5131" w:type="dxa"/>
        </w:tcPr>
        <w:p w:rsidR="00507694" w:rsidRDefault="009E4BB9">
          <w:pPr>
            <w:rPr>
              <w:rFonts w:cs="FrankRuehl"/>
              <w:sz w:val="28"/>
              <w:szCs w:val="28"/>
              <w:rtl/>
            </w:rPr>
          </w:pPr>
          <w:sdt>
            <w:sdtPr>
              <w:rPr>
                <w:rtl/>
              </w:rPr>
              <w:alias w:val="1170"/>
              <w:tag w:val="1170"/>
              <w:id w:val="2112628154"/>
              <w:text w:multiLine="1"/>
            </w:sdtPr>
            <w:sdtEndPr/>
            <w:sdtContent>
              <w:r w:rsidR="00D33BE7">
                <w:rPr>
                  <w:rFonts w:cs="FrankRuehl"/>
                  <w:sz w:val="28"/>
                  <w:szCs w:val="28"/>
                  <w:rtl/>
                </w:rPr>
                <w:t>תפ"ח</w:t>
              </w:r>
            </w:sdtContent>
          </w:sdt>
          <w:r w:rsidR="00684E84">
            <w:rPr>
              <w:rFonts w:cs="FrankRuehl" w:hint="cs"/>
              <w:sz w:val="28"/>
              <w:szCs w:val="28"/>
              <w:rtl/>
            </w:rPr>
            <w:t xml:space="preserve"> </w:t>
          </w:r>
          <w:sdt>
            <w:sdtPr>
              <w:rPr>
                <w:rtl/>
              </w:rPr>
              <w:alias w:val="1171"/>
              <w:tag w:val="1171"/>
              <w:id w:val="-1870053316"/>
              <w:text w:multiLine="1"/>
            </w:sdtPr>
            <w:sdtEndPr/>
            <w:sdtContent>
              <w:r w:rsidR="00D33BE7">
                <w:rPr>
                  <w:rFonts w:cs="FrankRuehl"/>
                  <w:sz w:val="28"/>
                  <w:szCs w:val="28"/>
                  <w:rtl/>
                </w:rPr>
                <w:t>30103-08-19</w:t>
              </w:r>
            </w:sdtContent>
          </w:sdt>
          <w:r w:rsidR="00684E84">
            <w:rPr>
              <w:rFonts w:cs="FrankRuehl" w:hint="cs"/>
              <w:sz w:val="28"/>
              <w:szCs w:val="28"/>
              <w:rtl/>
            </w:rPr>
            <w:t xml:space="preserve"> </w:t>
          </w:r>
          <w:sdt>
            <w:sdtPr>
              <w:rPr>
                <w:rtl/>
              </w:rPr>
              <w:alias w:val="1172"/>
              <w:tag w:val="1172"/>
              <w:id w:val="-2143494014"/>
              <w:text w:multiLine="1"/>
            </w:sdtPr>
            <w:sdtEndPr/>
            <w:sdtContent>
              <w:r w:rsidR="00D33BE7">
                <w:rPr>
                  <w:rFonts w:cs="FrankRuehl"/>
                  <w:sz w:val="28"/>
                  <w:szCs w:val="28"/>
                  <w:rtl/>
                </w:rPr>
                <w:t>מדינת ישראל נ' קטן</w:t>
              </w:r>
            </w:sdtContent>
          </w:sdt>
        </w:p>
        <w:p w:rsidR="00507694" w:rsidRDefault="00507694">
          <w:pPr>
            <w:pStyle w:val="a3"/>
            <w:rPr>
              <w:rFonts w:cs="FrankRuehl"/>
              <w:sz w:val="28"/>
              <w:szCs w:val="28"/>
              <w:rtl/>
            </w:rPr>
          </w:pPr>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0659" w:rsidRDefault="00D4065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D1008ED"/>
    <w:multiLevelType w:val="hybridMultilevel"/>
    <w:tmpl w:val="A9FA89C2"/>
    <w:lvl w:ilvl="0" w:tplc="E9447122">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49B32434"/>
    <w:multiLevelType w:val="hybridMultilevel"/>
    <w:tmpl w:val="FC0C253C"/>
    <w:lvl w:ilvl="0" w:tplc="7E1A2FB0">
      <w:start w:val="1"/>
      <w:numFmt w:val="hebrew1"/>
      <w:lvlText w:val="%1."/>
      <w:lvlJc w:val="left"/>
      <w:pPr>
        <w:ind w:left="869" w:hanging="360"/>
      </w:pPr>
    </w:lvl>
    <w:lvl w:ilvl="1" w:tplc="04090019">
      <w:start w:val="1"/>
      <w:numFmt w:val="lowerLetter"/>
      <w:lvlText w:val="%2."/>
      <w:lvlJc w:val="left"/>
      <w:pPr>
        <w:ind w:left="1589" w:hanging="360"/>
      </w:pPr>
    </w:lvl>
    <w:lvl w:ilvl="2" w:tplc="0409001B">
      <w:start w:val="1"/>
      <w:numFmt w:val="lowerRoman"/>
      <w:lvlText w:val="%3."/>
      <w:lvlJc w:val="right"/>
      <w:pPr>
        <w:ind w:left="2309" w:hanging="180"/>
      </w:pPr>
    </w:lvl>
    <w:lvl w:ilvl="3" w:tplc="0409000F">
      <w:start w:val="1"/>
      <w:numFmt w:val="decimal"/>
      <w:lvlText w:val="%4."/>
      <w:lvlJc w:val="left"/>
      <w:pPr>
        <w:ind w:left="3029" w:hanging="360"/>
      </w:pPr>
    </w:lvl>
    <w:lvl w:ilvl="4" w:tplc="04090019">
      <w:start w:val="1"/>
      <w:numFmt w:val="lowerLetter"/>
      <w:lvlText w:val="%5."/>
      <w:lvlJc w:val="left"/>
      <w:pPr>
        <w:ind w:left="3749" w:hanging="360"/>
      </w:pPr>
    </w:lvl>
    <w:lvl w:ilvl="5" w:tplc="0409001B">
      <w:start w:val="1"/>
      <w:numFmt w:val="lowerRoman"/>
      <w:lvlText w:val="%6."/>
      <w:lvlJc w:val="right"/>
      <w:pPr>
        <w:ind w:left="4469" w:hanging="180"/>
      </w:pPr>
    </w:lvl>
    <w:lvl w:ilvl="6" w:tplc="0409000F">
      <w:start w:val="1"/>
      <w:numFmt w:val="decimal"/>
      <w:lvlText w:val="%7."/>
      <w:lvlJc w:val="left"/>
      <w:pPr>
        <w:ind w:left="5189" w:hanging="360"/>
      </w:pPr>
    </w:lvl>
    <w:lvl w:ilvl="7" w:tplc="04090019">
      <w:start w:val="1"/>
      <w:numFmt w:val="lowerLetter"/>
      <w:lvlText w:val="%8."/>
      <w:lvlJc w:val="left"/>
      <w:pPr>
        <w:ind w:left="5909" w:hanging="360"/>
      </w:pPr>
    </w:lvl>
    <w:lvl w:ilvl="8" w:tplc="0409001B">
      <w:start w:val="1"/>
      <w:numFmt w:val="lowerRoman"/>
      <w:lvlText w:val="%9."/>
      <w:lvlJc w:val="right"/>
      <w:pPr>
        <w:ind w:left="6629" w:hanging="180"/>
      </w:pPr>
    </w:lvl>
  </w:abstractNum>
  <w:abstractNum w:abstractNumId="3"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72D3074"/>
    <w:multiLevelType w:val="hybridMultilevel"/>
    <w:tmpl w:val="63A2BE4C"/>
    <w:lvl w:ilvl="0" w:tplc="25020A4C">
      <w:start w:val="1"/>
      <w:numFmt w:val="hebrew1"/>
      <w:lvlText w:val="%1."/>
      <w:lvlJc w:val="left"/>
      <w:pPr>
        <w:ind w:left="1069" w:hanging="360"/>
      </w:pPr>
      <w:rPr>
        <w:lang w:val="en-US"/>
      </w:rPr>
    </w:lvl>
    <w:lvl w:ilvl="1" w:tplc="04090019">
      <w:start w:val="1"/>
      <w:numFmt w:val="lowerLetter"/>
      <w:lvlText w:val="%2."/>
      <w:lvlJc w:val="left"/>
      <w:pPr>
        <w:ind w:left="1731" w:hanging="360"/>
      </w:pPr>
    </w:lvl>
    <w:lvl w:ilvl="2" w:tplc="0409001B">
      <w:start w:val="1"/>
      <w:numFmt w:val="lowerRoman"/>
      <w:lvlText w:val="%3."/>
      <w:lvlJc w:val="right"/>
      <w:pPr>
        <w:ind w:left="2451" w:hanging="180"/>
      </w:pPr>
    </w:lvl>
    <w:lvl w:ilvl="3" w:tplc="0409000F">
      <w:start w:val="1"/>
      <w:numFmt w:val="decimal"/>
      <w:lvlText w:val="%4."/>
      <w:lvlJc w:val="left"/>
      <w:pPr>
        <w:ind w:left="3171" w:hanging="360"/>
      </w:pPr>
    </w:lvl>
    <w:lvl w:ilvl="4" w:tplc="04090019">
      <w:start w:val="1"/>
      <w:numFmt w:val="lowerLetter"/>
      <w:lvlText w:val="%5."/>
      <w:lvlJc w:val="left"/>
      <w:pPr>
        <w:ind w:left="3891" w:hanging="360"/>
      </w:pPr>
    </w:lvl>
    <w:lvl w:ilvl="5" w:tplc="0409001B">
      <w:start w:val="1"/>
      <w:numFmt w:val="lowerRoman"/>
      <w:lvlText w:val="%6."/>
      <w:lvlJc w:val="right"/>
      <w:pPr>
        <w:ind w:left="4611" w:hanging="180"/>
      </w:pPr>
    </w:lvl>
    <w:lvl w:ilvl="6" w:tplc="0409000F">
      <w:start w:val="1"/>
      <w:numFmt w:val="decimal"/>
      <w:lvlText w:val="%7."/>
      <w:lvlJc w:val="left"/>
      <w:pPr>
        <w:ind w:left="5331" w:hanging="360"/>
      </w:pPr>
    </w:lvl>
    <w:lvl w:ilvl="7" w:tplc="04090019">
      <w:start w:val="1"/>
      <w:numFmt w:val="lowerLetter"/>
      <w:lvlText w:val="%8."/>
      <w:lvlJc w:val="left"/>
      <w:pPr>
        <w:ind w:left="6051" w:hanging="360"/>
      </w:pPr>
    </w:lvl>
    <w:lvl w:ilvl="8" w:tplc="0409001B">
      <w:start w:val="1"/>
      <w:numFmt w:val="lowerRoman"/>
      <w:lvlText w:val="%9."/>
      <w:lvlJc w:val="right"/>
      <w:pPr>
        <w:ind w:left="6771" w:hanging="180"/>
      </w:pPr>
    </w:lvl>
  </w:abstractNum>
  <w:abstractNum w:abstractNumId="5" w15:restartNumberingAfterBreak="0">
    <w:nsid w:val="5E773773"/>
    <w:multiLevelType w:val="hybridMultilevel"/>
    <w:tmpl w:val="AAE83BBE"/>
    <w:lvl w:ilvl="0" w:tplc="A00A50CE">
      <w:start w:val="1"/>
      <w:numFmt w:val="decimal"/>
      <w:lvlText w:val="%1."/>
      <w:lvlJc w:val="left"/>
      <w:pPr>
        <w:ind w:left="502" w:hanging="360"/>
      </w:pPr>
      <w:rPr>
        <w:rFonts w:cs="Times New Roman"/>
        <w:b w:val="0"/>
        <w:bCs w:val="0"/>
      </w:rPr>
    </w:lvl>
    <w:lvl w:ilvl="1" w:tplc="04090019">
      <w:start w:val="1"/>
      <w:numFmt w:val="lowerLetter"/>
      <w:lvlText w:val="%2."/>
      <w:lvlJc w:val="left"/>
      <w:pPr>
        <w:ind w:left="1222" w:hanging="360"/>
      </w:pPr>
      <w:rPr>
        <w:rFonts w:cs="Times New Roman"/>
      </w:rPr>
    </w:lvl>
    <w:lvl w:ilvl="2" w:tplc="0409001B">
      <w:start w:val="1"/>
      <w:numFmt w:val="lowerRoman"/>
      <w:lvlText w:val="%3."/>
      <w:lvlJc w:val="right"/>
      <w:pPr>
        <w:ind w:left="1942" w:hanging="180"/>
      </w:pPr>
      <w:rPr>
        <w:rFonts w:cs="Times New Roman"/>
      </w:rPr>
    </w:lvl>
    <w:lvl w:ilvl="3" w:tplc="0409000F">
      <w:start w:val="1"/>
      <w:numFmt w:val="decimal"/>
      <w:lvlText w:val="%4."/>
      <w:lvlJc w:val="left"/>
      <w:pPr>
        <w:ind w:left="2662" w:hanging="360"/>
      </w:pPr>
      <w:rPr>
        <w:rFonts w:cs="Times New Roman"/>
      </w:rPr>
    </w:lvl>
    <w:lvl w:ilvl="4" w:tplc="04090019">
      <w:start w:val="1"/>
      <w:numFmt w:val="lowerLetter"/>
      <w:lvlText w:val="%5."/>
      <w:lvlJc w:val="left"/>
      <w:pPr>
        <w:ind w:left="3382" w:hanging="360"/>
      </w:pPr>
      <w:rPr>
        <w:rFonts w:cs="Times New Roman"/>
      </w:rPr>
    </w:lvl>
    <w:lvl w:ilvl="5" w:tplc="0409001B">
      <w:start w:val="1"/>
      <w:numFmt w:val="lowerRoman"/>
      <w:lvlText w:val="%6."/>
      <w:lvlJc w:val="right"/>
      <w:pPr>
        <w:ind w:left="4102" w:hanging="180"/>
      </w:pPr>
      <w:rPr>
        <w:rFonts w:cs="Times New Roman"/>
      </w:rPr>
    </w:lvl>
    <w:lvl w:ilvl="6" w:tplc="0409000F">
      <w:start w:val="1"/>
      <w:numFmt w:val="decimal"/>
      <w:lvlText w:val="%7."/>
      <w:lvlJc w:val="left"/>
      <w:pPr>
        <w:ind w:left="4822" w:hanging="360"/>
      </w:pPr>
      <w:rPr>
        <w:rFonts w:cs="Times New Roman"/>
      </w:rPr>
    </w:lvl>
    <w:lvl w:ilvl="7" w:tplc="04090019">
      <w:start w:val="1"/>
      <w:numFmt w:val="lowerLetter"/>
      <w:lvlText w:val="%8."/>
      <w:lvlJc w:val="left"/>
      <w:pPr>
        <w:ind w:left="5542" w:hanging="360"/>
      </w:pPr>
      <w:rPr>
        <w:rFonts w:cs="Times New Roman"/>
      </w:rPr>
    </w:lvl>
    <w:lvl w:ilvl="8" w:tplc="0409001B">
      <w:start w:val="1"/>
      <w:numFmt w:val="lowerRoman"/>
      <w:lvlText w:val="%9."/>
      <w:lvlJc w:val="right"/>
      <w:pPr>
        <w:ind w:left="6262" w:hanging="180"/>
      </w:pPr>
      <w:rPr>
        <w:rFonts w:cs="Times New Roman"/>
      </w:rPr>
    </w:lvl>
  </w:abstractNum>
  <w:num w:numId="1">
    <w:abstractNumId w:val="3"/>
  </w:num>
  <w:num w:numId="2">
    <w:abstractNumId w:val="0"/>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670335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6703350&amp;lt;/CaseID&amp;gt;_x000d__x000a_        &amp;lt;CaseMonth&amp;gt;8&amp;lt;/CaseMonth&amp;gt;_x000d__x000a_        &amp;lt;CaseYear&amp;gt;2019&amp;lt;/CaseYear&amp;gt;_x000d__x000a_        &amp;lt;CaseNumber&amp;gt;30103&amp;lt;/CaseNumber&amp;gt;_x000d__x000a_        &amp;lt;NumeratorGroupID&amp;gt;1&amp;lt;/NumeratorGroupID&amp;gt;_x000d__x000a_        &amp;lt;CaseName&amp;gt;מדינת ישראל נ&amp;#39; קטן&amp;lt;/CaseName&amp;gt;_x000d__x000a_        &amp;lt;CourtID&amp;gt;896&amp;lt;/CourtID&amp;gt;_x000d__x000a_        &amp;lt;CaseTypeID&amp;gt;10077&amp;lt;/CaseTypeID&amp;gt;_x000d__x000a_        &amp;lt;CaseJudgeName&amp;gt;ליאורה ברודי&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30103-08-19&amp;lt;/CaseDisplayIdentifier&amp;gt;_x000d__x000a_        &amp;lt;CaseTypeDesc&amp;gt;תפ&amp;quot;ח&amp;lt;/CaseTypeDesc&amp;gt;_x000d__x000a_        &amp;lt;CourtDesc&amp;gt;המחוזי מרכז &amp;lt;/CourtDesc&amp;gt;_x000d__x000a_        &amp;lt;CaseStageDesc&amp;gt;תיק אלקטרוני&amp;lt;/CaseStageDesc&amp;gt;_x000d__x000a_        &amp;lt;IsUnpaidFeeExist&amp;gt;false&amp;lt;/IsUnpaidFeeExist&amp;gt;_x000d__x000a_        &amp;lt;CaseNextDeterminingTask&amp;gt;150&amp;lt;/CaseNextDeterminingTask&amp;gt;_x000d__x000a_        &amp;lt;CaseOpenDate&amp;gt;2019-08-14T09:04:00+03:00&amp;lt;/CaseOpenDate&amp;gt;_x000d__x000a_        &amp;lt;PleaTypeID&amp;gt;8&amp;lt;/PleaTypeID&amp;gt;_x000d__x000a_        &amp;lt;CourtLevelID&amp;gt;2&amp;lt;/CourtLevelID&amp;gt;_x000d__x000a_        &amp;lt;CourtLevelCaseTypeInterestID&amp;gt;440&amp;lt;/CourtLevelCaseTypeInterestID&amp;gt;_x000d__x000a_        &amp;lt;CaseJudgeFirstName&amp;gt;ליאורה&amp;lt;/CaseJudgeFirstName&amp;gt;_x000d__x000a_        &amp;lt;CaseJudgeLastName&amp;gt;ברודי&amp;lt;/CaseJudgeLastName&amp;gt;_x000d__x000a_        &amp;lt;JudicalPersonID&amp;gt;054040928@GOV.IL&amp;lt;/JudicalPersonID&amp;gt;_x000d__x000a_        &amp;lt;IsJudicalPanel&amp;gt;tru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זומנה הקלטה ליום 26.11.23 דיון בהחרגה. מלי.ג. &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6703350&amp;lt;/CaseID&amp;gt;_x000d__x000a_        &amp;lt;CaseMonth&amp;gt;8&amp;lt;/CaseMonth&amp;gt;_x000d__x000a_        &amp;lt;CaseYear&amp;gt;2019&amp;lt;/CaseYear&amp;gt;_x000d__x000a_        &amp;lt;CaseNumber&amp;gt;30103&amp;lt;/CaseNumber&amp;gt;_x000d__x000a_        &amp;lt;NumeratorGroupID&amp;gt;1&amp;lt;/NumeratorGroupID&amp;gt;_x000d__x000a_        &amp;lt;CaseName&amp;gt;מדינת ישראל נ&amp;#39; קטן&amp;lt;/CaseName&amp;gt;_x000d__x000a_        &amp;lt;CourtID&amp;gt;896&amp;lt;/CourtID&amp;gt;_x000d__x000a_        &amp;lt;CaseTypeID&amp;gt;10077&amp;lt;/CaseTypeID&amp;gt;_x000d__x000a_        &amp;lt;CaseJudgeName&amp;gt;ליאורה ברודי&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30103-08-19&amp;lt;/CaseDisplayIdentifier&amp;gt;_x000d__x000a_        &amp;lt;CaseTypeDesc&amp;gt;תפ&amp;quot;ח&amp;lt;/CaseTypeDesc&amp;gt;_x000d__x000a_        &amp;lt;CourtDesc&amp;gt;המחוזי מרכז &amp;lt;/CourtDesc&amp;gt;_x000d__x000a_        &amp;lt;CaseStageDesc&amp;gt;תיק אלקטרוני&amp;lt;/CaseStageDesc&amp;gt;_x000d__x000a_        &amp;lt;CaseNextDeterminingTask&amp;gt;150&amp;lt;/CaseNextDeterminingTask&amp;gt;_x000d__x000a_        &amp;lt;CaseOpenDate&amp;gt;2019-08-14T09:04:00+03:00&amp;lt;/CaseOpenDate&amp;gt;_x000d__x000a_        &amp;lt;PleaTypeID&amp;gt;8&amp;lt;/PleaTypeID&amp;gt;_x000d__x000a_        &amp;lt;CourtLevelID&amp;gt;2&amp;lt;/CourtLevelID&amp;gt;_x000d__x000a_        &amp;lt;CourtLevelCaseTypeInterestID&amp;gt;440&amp;lt;/CourtLevelCaseTypeInterestID&amp;gt;_x000d__x000a_        &amp;lt;CaseJudgeFirstName&amp;gt;ליאורה&amp;lt;/CaseJudgeFirstName&amp;gt;_x000d__x000a_        &amp;lt;CaseJudgeLastName&amp;gt;ברודי&amp;lt;/CaseJudgeLastName&amp;gt;_x000d__x000a_        &amp;lt;JudicalPersonID&amp;gt;054040928@GOV.IL&amp;lt;/JudicalPersonID&amp;gt;_x000d__x000a_        &amp;lt;IsJudicalPanel&amp;gt;tru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זומנה הקלטה ליום 26.11.23 דיון בהחרגה. מלי.ג. &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988365&amp;lt;/DecisionID&amp;gt;_x000d__x000a_        &amp;lt;DecisionName&amp;gt;גזר דין  שניתנה ע&amp;quot;י  ליאורה ברודי&amp;lt;/DecisionName&amp;gt;_x000d__x000a_        &amp;lt;DecisionStatusID&amp;gt;1&amp;lt;/DecisionStatusID&amp;gt;_x000d__x000a_        &amp;lt;DecisionStatusChangeDate&amp;gt;2024-06-04T12:18:17.593+03:00&amp;lt;/DecisionStatusChangeDate&amp;gt;_x000d__x000a_        &amp;lt;DecisionSignatureDate&amp;gt;2024-06-02T09:06:52.363+03:00&amp;lt;/DecisionSignatureDate&amp;gt;_x000d__x000a_        &amp;lt;DecisionSignatureUserID&amp;gt;054040928@GOV.IL&amp;lt;/DecisionSignatureUserID&amp;gt;_x000d__x000a_        &amp;lt;DecisionCreateDate&amp;gt;2024-06-02T09:09:20.073+03:00&amp;lt;/DecisionCreateDate&amp;gt;_x000d__x000a_        &amp;lt;DecisionChangeDate&amp;gt;2024-06-04T12:18:17.697+03:00&amp;lt;/DecisionChangeDate&amp;gt;_x000d__x000a_        &amp;lt;DecisionChangeUserID&amp;gt;02542293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4&amp;lt;/DecisionTypeID&amp;gt;_x000d__x000a_        &amp;lt;IsOnlyOneParty&amp;gt;false&amp;lt;/IsOnlyOneParty&amp;gt;_x000d__x000a_        &amp;lt;IsCanceledDecision&amp;gt;false&amp;lt;/IsCanceledDecision&amp;gt;_x000d__x000a_        &amp;lt;DocumentID&amp;gt;444638718&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4040928@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2575862@GOV.IL&amp;lt;/DecisionCreationUserID&amp;gt;_x000d__x000a_        &amp;lt;DecisionDisplayName&amp;gt;גזר דין  שניתנה ע&amp;quot;י  ליאורה ברודי&amp;lt;/DecisionDisplayName&amp;gt;_x000d__x000a_        &amp;lt;IsScanned&amp;gt;false&amp;lt;/IsScanned&amp;gt;_x000d__x000a_        &amp;lt;DecisionSignatureUserName&amp;gt;ליאורה ברוד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6&amp;lt;/DecisionNumberInCase&amp;gt;_x000d__x000a_      &amp;lt;/dt_Decision&amp;gt;_x000d__x000a_      &amp;lt;dt_DecisionCase diffgr:id=&amp;quot;dt_DecisionCase1&amp;quot; msdata:rowOrder=&amp;quot;0&amp;quot;&amp;gt;_x000d__x000a_        &amp;lt;DecisionID&amp;gt;151988365&amp;lt;/DecisionID&amp;gt;_x000d__x000a_        &amp;lt;CaseID&amp;gt;76703350&amp;lt;/CaseID&amp;gt;_x000d__x000a_        &amp;lt;IsOriginal&amp;gt;true&amp;lt;/IsOriginal&amp;gt;_x000d__x000a_        &amp;lt;IsDeleted&amp;gt;false&amp;lt;/IsDeleted&amp;gt;_x000d__x000a_        &amp;lt;CaseName&amp;gt;מדינת ישראל נ&amp;#39; קטן&amp;lt;/CaseName&amp;gt;_x000d__x000a_        &amp;lt;CaseDisplayIdentifier&amp;gt;30103-08-19 תפ&amp;quot;ח&amp;lt;/CaseDisplayIdentifier&amp;gt;_x000d__x000a_      &amp;lt;/dt_DecisionCase&amp;gt;_x000d__x000a_      &amp;lt;dt_DecisionJudgePanel diffgr:id=&amp;quot;dt_DecisionJudgePanel1&amp;quot; msdata:rowOrder=&amp;quot;0&amp;quot;&amp;gt;_x000d__x000a_        &amp;lt;DecisionID&amp;gt;151988365&amp;lt;/DecisionID&amp;gt;_x000d__x000a_        &amp;lt;JudgeID&amp;gt;054040928@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1988365&amp;lt;/DecisionID&amp;gt;_x000d__x000a_        &amp;lt;JudgeID&amp;gt;057331662@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1988365&amp;lt;/DecisionID&amp;gt;_x000d__x000a_        &amp;lt;JudgeID&amp;gt;013813399@GOV.IL&amp;lt;/JudgeID&amp;gt;_x000d__x000a_        &amp;lt;OrdinalNumber&amp;gt;3&amp;lt;/OrdinalNumber&amp;gt;_x000d__x000a_      &amp;lt;/dt_DecisionJudgePanel&amp;gt;_x000d__x000a_    &amp;lt;/DecisionDS&amp;gt;_x000d__x000a_  &amp;lt;/diffgr:diffgram&amp;gt;_x000d__x000a_&amp;lt;/DecisionDS&amp;gt;"/>
    <w:docVar w:name="DecisionID" w:val="151988365"/>
    <w:docVar w:name="docID" w:val="444638718"/>
    <w:docVar w:name="judgeUPN" w:val="054040928@GOV.IL"/>
    <w:docVar w:name="NGCS.TemplateCaseInterestID" w:val="-1"/>
    <w:docVar w:name="NGCS.TemplateCaseTypeID" w:val="10077"/>
    <w:docVar w:name="NGCS.TemplateCourtID" w:val="896"/>
    <w:docVar w:name="NGCS.TemplateProceedingID" w:val="2"/>
    <w:docVar w:name="noteDocID" w:val="444638718"/>
    <w:docVar w:name="WordClientAssemblyName" w:val="NGCS.Decision.ClientWordBL"/>
    <w:docVar w:name="WordClientClassName" w:val="NGCS.Decision.ClientWordBL.JudgePanelSignDecisionClient"/>
  </w:docVars>
  <w:rsids>
    <w:rsidRoot w:val="00507694"/>
    <w:rsid w:val="0000752B"/>
    <w:rsid w:val="00031F8A"/>
    <w:rsid w:val="000454A8"/>
    <w:rsid w:val="00054FC4"/>
    <w:rsid w:val="0006726A"/>
    <w:rsid w:val="000F2247"/>
    <w:rsid w:val="00100577"/>
    <w:rsid w:val="00111C66"/>
    <w:rsid w:val="001352F8"/>
    <w:rsid w:val="00165CA9"/>
    <w:rsid w:val="002067B1"/>
    <w:rsid w:val="00212125"/>
    <w:rsid w:val="00224AC0"/>
    <w:rsid w:val="0028714A"/>
    <w:rsid w:val="002A5B8D"/>
    <w:rsid w:val="002B7D23"/>
    <w:rsid w:val="002D6C61"/>
    <w:rsid w:val="002E5904"/>
    <w:rsid w:val="002F3547"/>
    <w:rsid w:val="003574BC"/>
    <w:rsid w:val="00363CC3"/>
    <w:rsid w:val="00367565"/>
    <w:rsid w:val="003D7D8A"/>
    <w:rsid w:val="003E0C9F"/>
    <w:rsid w:val="004215DC"/>
    <w:rsid w:val="004564B6"/>
    <w:rsid w:val="004902D6"/>
    <w:rsid w:val="00507694"/>
    <w:rsid w:val="00510A14"/>
    <w:rsid w:val="0058533A"/>
    <w:rsid w:val="005C7B0B"/>
    <w:rsid w:val="005E4F58"/>
    <w:rsid w:val="00683ABD"/>
    <w:rsid w:val="00684E84"/>
    <w:rsid w:val="006C2095"/>
    <w:rsid w:val="00706644"/>
    <w:rsid w:val="00707B7E"/>
    <w:rsid w:val="00732D89"/>
    <w:rsid w:val="00757983"/>
    <w:rsid w:val="00821F29"/>
    <w:rsid w:val="00822550"/>
    <w:rsid w:val="00832D73"/>
    <w:rsid w:val="00835F03"/>
    <w:rsid w:val="00851333"/>
    <w:rsid w:val="008819B4"/>
    <w:rsid w:val="008C1AB2"/>
    <w:rsid w:val="00924724"/>
    <w:rsid w:val="00947B38"/>
    <w:rsid w:val="009646EC"/>
    <w:rsid w:val="009705CC"/>
    <w:rsid w:val="00973C24"/>
    <w:rsid w:val="00994298"/>
    <w:rsid w:val="009A730D"/>
    <w:rsid w:val="009E35A7"/>
    <w:rsid w:val="009E49A1"/>
    <w:rsid w:val="009E4BB9"/>
    <w:rsid w:val="009F504D"/>
    <w:rsid w:val="00A504C4"/>
    <w:rsid w:val="00B05847"/>
    <w:rsid w:val="00B14E4A"/>
    <w:rsid w:val="00B22E0A"/>
    <w:rsid w:val="00BA7CCE"/>
    <w:rsid w:val="00BD67E7"/>
    <w:rsid w:val="00BE0015"/>
    <w:rsid w:val="00C02463"/>
    <w:rsid w:val="00C45023"/>
    <w:rsid w:val="00C55E62"/>
    <w:rsid w:val="00C572E8"/>
    <w:rsid w:val="00C63F4C"/>
    <w:rsid w:val="00C821E7"/>
    <w:rsid w:val="00CB59EE"/>
    <w:rsid w:val="00CE70FC"/>
    <w:rsid w:val="00D202F4"/>
    <w:rsid w:val="00D3203D"/>
    <w:rsid w:val="00D33BE7"/>
    <w:rsid w:val="00D40659"/>
    <w:rsid w:val="00D9162C"/>
    <w:rsid w:val="00E5468B"/>
    <w:rsid w:val="00E6406B"/>
    <w:rsid w:val="00E70F9C"/>
    <w:rsid w:val="00E973D8"/>
    <w:rsid w:val="00EA4438"/>
    <w:rsid w:val="00ED4465"/>
    <w:rsid w:val="00F353B3"/>
    <w:rsid w:val="00F75AFC"/>
    <w:rsid w:val="00F80C01"/>
    <w:rsid w:val="00FA70CF"/>
    <w:rsid w:val="00FC3179"/>
    <w:rsid w:val="00FD7CF9"/>
    <w:rsid w:val="00FF20D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uiPriority w:val="39"/>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 w:type="character" w:styleId="Hyperlink">
    <w:name w:val="Hyperlink"/>
    <w:basedOn w:val="a0"/>
    <w:uiPriority w:val="99"/>
    <w:semiHidden/>
    <w:unhideWhenUsed/>
    <w:rsid w:val="00707B7E"/>
    <w:rPr>
      <w:color w:val="0000FF" w:themeColor="hyperlink"/>
      <w:u w:val="single"/>
    </w:rPr>
  </w:style>
  <w:style w:type="paragraph" w:styleId="ab">
    <w:name w:val="List Paragraph"/>
    <w:basedOn w:val="a"/>
    <w:uiPriority w:val="34"/>
    <w:qFormat/>
    <w:rsid w:val="00707B7E"/>
    <w:pPr>
      <w:spacing w:after="160" w:line="256" w:lineRule="auto"/>
      <w:ind w:left="720"/>
      <w:contextualSpacing/>
    </w:pPr>
    <w:rPr>
      <w:rFonts w:asciiTheme="minorHAnsi" w:eastAsiaTheme="minorHAnsi" w:hAnsiTheme="minorHAnsi" w:cstheme="minorBidi"/>
      <w:sz w:val="22"/>
      <w:szCs w:val="22"/>
    </w:rPr>
  </w:style>
  <w:style w:type="character" w:customStyle="1" w:styleId="P00">
    <w:name w:val="P00 תו"/>
    <w:link w:val="P000"/>
    <w:locked/>
    <w:rsid w:val="00707B7E"/>
    <w:rPr>
      <w:noProof/>
      <w:szCs w:val="26"/>
      <w:lang w:eastAsia="he-IL"/>
    </w:rPr>
  </w:style>
  <w:style w:type="paragraph" w:customStyle="1" w:styleId="P000">
    <w:name w:val="P00"/>
    <w:link w:val="P00"/>
    <w:rsid w:val="00707B7E"/>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ind w:left="2835"/>
      <w:jc w:val="both"/>
    </w:pPr>
    <w:rPr>
      <w:noProof/>
      <w:szCs w:val="26"/>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492285070">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 w:id="193713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vo.co.il/case/20226646" TargetMode="External"/><Relationship Id="rId18" Type="http://schemas.openxmlformats.org/officeDocument/2006/relationships/hyperlink" Target="http://www.nevo.co.il/case/26049291" TargetMode="External"/><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hyperlink" Target="http://www.nevo.co.il/case/5612802" TargetMode="External"/><Relationship Id="rId17" Type="http://schemas.openxmlformats.org/officeDocument/2006/relationships/hyperlink" Target="http://www.nevo.co.il/case/28358114" TargetMode="External"/><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yperlink" Target="http://www.nevo.co.il/case/28313659" TargetMode="External"/><Relationship Id="rId20" Type="http://schemas.openxmlformats.org/officeDocument/2006/relationships/image" Target="media/image2.png"/><Relationship Id="rId29"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law/70301"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nevo.co.il/law/70301"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nevo.co.il/law/70301/fCa1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nevo.co.il/law/70301" TargetMode="External"/><Relationship Id="rId14" Type="http://schemas.openxmlformats.org/officeDocument/2006/relationships/hyperlink" Target="http://www.nevo.co.il/law/70301/300.a"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9E22585710421C8C89FB185AEA4F29"/>
        <w:category>
          <w:name w:val="כללי"/>
          <w:gallery w:val="placeholder"/>
        </w:category>
        <w:types>
          <w:type w:val="bbPlcHdr"/>
        </w:types>
        <w:behaviors>
          <w:behavior w:val="content"/>
        </w:behaviors>
        <w:guid w:val="{51A7D7BC-3F7B-41CC-978C-2D89DEE0E588}"/>
      </w:docPartPr>
      <w:docPartBody>
        <w:p w:rsidR="00311E12" w:rsidRDefault="00EE528B" w:rsidP="00EE528B">
          <w:pPr>
            <w:pStyle w:val="779E22585710421C8C89FB185AEA4F295"/>
          </w:pPr>
          <w:r>
            <w:rPr>
              <w:rFonts w:ascii="Arial" w:hAnsi="Arial"/>
              <w:b/>
              <w:bCs/>
              <w:sz w:val="26"/>
              <w:szCs w:val="26"/>
              <w:rtl/>
            </w:rPr>
            <w:t>שם צד א' ללא שם של חסוי</w:t>
          </w:r>
        </w:p>
      </w:docPartBody>
    </w:docPart>
    <w:docPart>
      <w:docPartPr>
        <w:name w:val="010484D989C74E84A895BCF1D17B4C1C"/>
        <w:category>
          <w:name w:val="כללי"/>
          <w:gallery w:val="placeholder"/>
        </w:category>
        <w:types>
          <w:type w:val="bbPlcHdr"/>
        </w:types>
        <w:behaviors>
          <w:behavior w:val="content"/>
        </w:behaviors>
        <w:guid w:val="{684A132F-3854-4118-9297-B41D678C0160}"/>
      </w:docPartPr>
      <w:docPartBody>
        <w:p w:rsidR="00311E12" w:rsidRDefault="00EE528B" w:rsidP="00EE528B">
          <w:pPr>
            <w:pStyle w:val="010484D989C74E84A895BCF1D17B4C1C5"/>
          </w:pPr>
          <w:r>
            <w:rPr>
              <w:rFonts w:ascii="Arial" w:hAnsi="Arial"/>
              <w:b/>
              <w:bCs/>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iriam">
    <w:panose1 w:val="020B050205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030E49"/>
    <w:rsid w:val="00311E12"/>
    <w:rsid w:val="00313980"/>
    <w:rsid w:val="00604245"/>
    <w:rsid w:val="00AF3697"/>
    <w:rsid w:val="00CC13F5"/>
    <w:rsid w:val="00D24C02"/>
    <w:rsid w:val="00EE528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D24C02"/>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779E22585710421C8C89FB185AEA4F295">
    <w:name w:val="779E22585710421C8C89FB185AEA4F295"/>
    <w:rsid w:val="00EE528B"/>
    <w:pPr>
      <w:bidi/>
      <w:spacing w:after="0" w:line="240" w:lineRule="auto"/>
    </w:pPr>
    <w:rPr>
      <w:rFonts w:ascii="Times New Roman" w:eastAsia="Times New Roman" w:hAnsi="Times New Roman" w:cs="David"/>
      <w:sz w:val="24"/>
      <w:szCs w:val="24"/>
    </w:rPr>
  </w:style>
  <w:style w:type="paragraph" w:customStyle="1" w:styleId="010484D989C74E84A895BCF1D17B4C1C5">
    <w:name w:val="010484D989C74E84A895BCF1D17B4C1C5"/>
    <w:rsid w:val="00EE528B"/>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EE528B"/>
    <w:pPr>
      <w:bidi/>
      <w:spacing w:after="0" w:line="240" w:lineRule="auto"/>
    </w:pPr>
    <w:rPr>
      <w:rFonts w:ascii="Times New Roman" w:eastAsia="Times New Roman" w:hAnsi="Times New Roman" w:cs="David"/>
      <w:sz w:val="24"/>
      <w:szCs w:val="24"/>
    </w:rPr>
  </w:style>
  <w:style w:type="paragraph" w:customStyle="1" w:styleId="4C499F2ED676413B965A992DD16BA9682">
    <w:name w:val="4C499F2ED676413B965A992DD16BA9682"/>
    <w:rsid w:val="00D24C02"/>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76703350</CaseID>
    <CaseJudicialPersonPresentationDS>
      <CaseJudicalPersonActive>
        <CaseID>76703350</CaseID>
        <JudicialPersonID>054040928@GOV.IL</JudicialPersonID>
        <JudicialPersonTypeID>1</JudicialPersonTypeID>
        <JudicialTypeID>3</JudicialTypeID>
        <IsChairman>true</IsChairman>
        <TreatmentStartDate>2019-08-15T12:31:38.113+03:00</TreatmentStartDate>
        <TreatmentFinishDate>9999-12-31T23:59:59.997+02:00</TreatmentFinishDate>
        <IdentificationCardNumber>054040928</IdentificationCardNumber>
        <DisplayName>ליאורה ברודי</DisplayName>
        <JudicialTypeName>הרכב שופטים</JudicialTypeName>
        <CaseJudicialGroupNumber>389005</CaseJudicialGroupNumber>
        <FirstName>ליאורה</FirstName>
        <LastName>ברודי</LastName>
        <JudicialPersonTitle>שופט</JudicialPersonTitle>
      </CaseJudicalPersonActive>
      <CaseJudicalPersonActive>
        <CaseID>76703350</CaseID>
        <JudicialPersonID>057331662@GOV.IL</JudicialPersonID>
        <JudicialPersonTypeID>1</JudicialPersonTypeID>
        <JudicialTypeID>3</JudicialTypeID>
        <IsChairman>false</IsChairman>
        <TreatmentStartDate>2019-08-15T12:31:38.113+03:00</TreatmentStartDate>
        <TreatmentFinishDate>9999-12-31T23:59:59.997+02:00</TreatmentFinishDate>
        <IdentificationCardNumber>057331662</IdentificationCardNumber>
        <DisplayName>מיכל ברק נבו</DisplayName>
        <JudicialTypeName>הרכב שופטים</JudicialTypeName>
        <CaseJudicialGroupNumber>389005</CaseJudicialGroupNumber>
        <FirstName>מיכל</FirstName>
        <LastName>ברק נבו</LastName>
        <JudicialPersonTitle>שופט</JudicialPersonTitle>
      </CaseJudicalPersonActive>
      <CaseJudicalPersonActive>
        <CaseID>76703350</CaseID>
        <JudicialPersonID>013813399@GOV.IL</JudicialPersonID>
        <JudicialPersonTypeID>1</JudicialPersonTypeID>
        <JudicialTypeID>3</JudicialTypeID>
        <IsChairman>false</IsChairman>
        <TreatmentStartDate>2019-08-15T12:31:38.113+03:00</TreatmentStartDate>
        <TreatmentFinishDate>9999-12-31T23:59:59.997+02:00</TreatmentFinishDate>
        <IdentificationCardNumber>013813399</IdentificationCardNumber>
        <DisplayName>מיכאל תמיר</DisplayName>
        <JudicialTypeName>הרכב שופטים</JudicialTypeName>
        <CaseJudicialGroupNumber>389005</CaseJudicialGroupNumber>
        <FirstName>מיכאל</FirstName>
        <LastName>תמיר</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ציבורית מחוז מרכז</FullName>
        <LastName>הסנגוריה ציבורית מחוז מרכז</LastName>
        <PartyPropertyName/>
        <AuthenticationTypeAndNumber>משרדי ממשלה 570000489</AuthenticationTypeAndNumber>
        <RepresentatedOrRepresentativesNames/>
        <RepresentatedOrRepresentativesCount>0</RepresentatedOrRepresentativesCount>
        <InvitedBy/>
        <CaseID>76703350</CaseID>
        <CaseJudicialPersonPresentationDS>
          <CaseJudicalPersonActive>
            <CaseID>76703350</CaseID>
            <JudicialPersonID>054040928@GOV.IL</JudicialPersonID>
            <JudicialPersonTypeID>1</JudicialPersonTypeID>
            <JudicialTypeID>3</JudicialTypeID>
            <IsChairman>true</IsChairman>
            <TreatmentStartDate>2019-08-15T12:31:38.113+03:00</TreatmentStartDate>
            <TreatmentFinishDate>9999-12-31T23:59:59.997+02:00</TreatmentFinishDate>
            <IdentificationCardNumber>054040928</IdentificationCardNumber>
            <DisplayName>ליאורה ברודי</DisplayName>
            <JudicialTypeName>הרכב שופטים</JudicialTypeName>
            <CaseJudicialGroupNumber>389005</CaseJudicialGroupNumber>
            <FirstName>ליאורה</FirstName>
            <LastName>ברודי</LastName>
            <JudicialPersonTitle>שופט</JudicialPersonTitle>
          </CaseJudicalPersonActive>
          <CaseJudicalPersonActive>
            <CaseID>76703350</CaseID>
            <JudicialPersonID>057331662@GOV.IL</JudicialPersonID>
            <JudicialPersonTypeID>1</JudicialPersonTypeID>
            <JudicialTypeID>3</JudicialTypeID>
            <IsChairman>false</IsChairman>
            <TreatmentStartDate>2019-08-15T12:31:38.113+03:00</TreatmentStartDate>
            <TreatmentFinishDate>9999-12-31T23:59:59.997+02:00</TreatmentFinishDate>
            <IdentificationCardNumber>057331662</IdentificationCardNumber>
            <DisplayName>מיכל ברק נבו</DisplayName>
            <JudicialTypeName>הרכב שופטים</JudicialTypeName>
            <CaseJudicialGroupNumber>389005</CaseJudicialGroupNumber>
            <FirstName>מיכל</FirstName>
            <LastName>ברק נבו</LastName>
            <JudicialPersonTitle>שופט</JudicialPersonTitle>
          </CaseJudicalPersonActive>
          <CaseJudicalPersonActive>
            <CaseID>76703350</CaseID>
            <JudicialPersonID>013813399@GOV.IL</JudicialPersonID>
            <JudicialPersonTypeID>1</JudicialPersonTypeID>
            <JudicialTypeID>3</JudicialTypeID>
            <IsChairman>false</IsChairman>
            <TreatmentStartDate>2019-08-15T12:31:38.113+03:00</TreatmentStartDate>
            <TreatmentFinishDate>9999-12-31T23:59:59.997+02:00</TreatmentFinishDate>
            <IdentificationCardNumber>013813399</IdentificationCardNumber>
            <DisplayName>מיכאל תמיר</DisplayName>
            <JudicialTypeName>הרכב שופטים</JudicialTypeName>
            <CaseJudicialGroupNumber>389005</CaseJudicialGroupNumber>
            <FirstName>מיכאל</FirstName>
            <LastName>תמיר</LastName>
            <JudicialPersonTitle>שופט</JudicialPersonTitle>
          </CaseJudicalPersonActive>
        </CaseJudicialPersonPresentationDS>
        <CasePartyID>207984491</CasePartyID>
        <PartyTypeID>3</PartyTypeID>
        <ActivityStatusID>1</ActivityStatusID>
        <LegalEntityID>12733419</LegalEntityID>
        <CaseLegalEntityID>109849822</CaseLegalEntityID>
        <AssistantRoleID>26</AssistantRoleID>
        <AuthenticationTypeID>13</AuthenticationTypeID>
        <AuthenticationTypeName>משרדי ממשלה</AuthenticationTypeName>
        <LegalEntityNumber>570000489</LegalEntityNumber>
        <IsMainPartyType>true</IsMainPartyType>
        <CaseDisplayIdentifier>30103-08-19</CaseDisplayIdentifier>
        <CaseTypeID>10077</CaseTypeID>
        <CaseTypeName>תיק פשעים חמורים (תפ"ח)</CaseTypeName>
        <CaseName>מדינת ישראל נ' קטן</CaseName>
        <FullAddress/>
        <EmailAddress>sanminuiimmerkaz@justice.gov.il</EmailAddress>
        <MotionID>0</MotionID>
        <CasePleaID>0</CasePleaID>
        <LinkedCaseID>0</LinkedCaseID>
        <PartyID>1</PartyID>
        <CasePartyCategoryID>2</CasePartyCategoryID>
        <LegalEntityEmailAddressID>68005264</LegalEntityEmailAddressID>
        <PleaTypeID>8</PleaTypeID>
        <GroupPartyAlias/>
        <IsConverted>false</IsConverted>
        <LegalEntityRegisteredNameID>5560370</LegalEntityRegisteredNameID>
        <RepresentatedNamesOfAssistant/>
        <LegalEntityTypeID>3</LegalEntityTypeID>
        <IsVerdictExists>false</IsVerdictExists>
        <IsAsirAzir>false</IsAsirAzir>
        <IsPublicationProhibited>false</IsPublicationProhibited>
        <PublicationProhibitedFullName>הסנגוריה ציבורית מחוז מרכז</PublicationProhibitedFullName>
      </CaseParties>
      <CaseParties>
        <PartyTypeName>מסייע</PartyTypeName>
        <ProceedingType>כתב טענות עיקרי</ProceedingType>
        <PleaName>כתב אישום</PleaName>
        <PartyBelonging> - </PartyBelonging>
        <RoleName>שירות בתי הסוהר</RoleName>
        <IsSubProceeding>FALSE</IsSubProceeding>
        <FullName>שב"ס היחידה לתאום ופיקוח אלקטרוני פקא"ל</FullName>
        <LastName>שב"ס היחידה לתאום ופיקוח אלקטרוני פקא"ל</LastName>
        <PartyPropertyName/>
        <AuthenticationTypeAndNumber>משרדי ממשלה 513442041</AuthenticationTypeAndNumber>
        <RepresentatedOrRepresentativesNames/>
        <RepresentatedOrRepresentativesCount>0</RepresentatedOrRepresentativesCount>
        <InvitedBy/>
        <CaseID>76703350</CaseID>
        <CaseJudicialPersonPresentationDS>
          <CaseJudicalPersonActive>
            <CaseID>76703350</CaseID>
            <JudicialPersonID>054040928@GOV.IL</JudicialPersonID>
            <JudicialPersonTypeID>1</JudicialPersonTypeID>
            <JudicialTypeID>3</JudicialTypeID>
            <IsChairman>true</IsChairman>
            <TreatmentStartDate>2019-08-15T12:31:38.113+03:00</TreatmentStartDate>
            <TreatmentFinishDate>9999-12-31T23:59:59.997+02:00</TreatmentFinishDate>
            <IdentificationCardNumber>054040928</IdentificationCardNumber>
            <DisplayName>ליאורה ברודי</DisplayName>
            <JudicialTypeName>הרכב שופטים</JudicialTypeName>
            <CaseJudicialGroupNumber>389005</CaseJudicialGroupNumber>
            <FirstName>ליאורה</FirstName>
            <LastName>ברודי</LastName>
            <JudicialPersonTitle>שופט</JudicialPersonTitle>
          </CaseJudicalPersonActive>
          <CaseJudicalPersonActive>
            <CaseID>76703350</CaseID>
            <JudicialPersonID>057331662@GOV.IL</JudicialPersonID>
            <JudicialPersonTypeID>1</JudicialPersonTypeID>
            <JudicialTypeID>3</JudicialTypeID>
            <IsChairman>false</IsChairman>
            <TreatmentStartDate>2019-08-15T12:31:38.113+03:00</TreatmentStartDate>
            <TreatmentFinishDate>9999-12-31T23:59:59.997+02:00</TreatmentFinishDate>
            <IdentificationCardNumber>057331662</IdentificationCardNumber>
            <DisplayName>מיכל ברק נבו</DisplayName>
            <JudicialTypeName>הרכב שופטים</JudicialTypeName>
            <CaseJudicialGroupNumber>389005</CaseJudicialGroupNumber>
            <FirstName>מיכל</FirstName>
            <LastName>ברק נבו</LastName>
            <JudicialPersonTitle>שופט</JudicialPersonTitle>
          </CaseJudicalPersonActive>
          <CaseJudicalPersonActive>
            <CaseID>76703350</CaseID>
            <JudicialPersonID>013813399@GOV.IL</JudicialPersonID>
            <JudicialPersonTypeID>1</JudicialPersonTypeID>
            <JudicialTypeID>3</JudicialTypeID>
            <IsChairman>false</IsChairman>
            <TreatmentStartDate>2019-08-15T12:31:38.113+03:00</TreatmentStartDate>
            <TreatmentFinishDate>9999-12-31T23:59:59.997+02:00</TreatmentFinishDate>
            <IdentificationCardNumber>013813399</IdentificationCardNumber>
            <DisplayName>מיכאל תמיר</DisplayName>
            <JudicialTypeName>הרכב שופטים</JudicialTypeName>
            <CaseJudicialGroupNumber>389005</CaseJudicialGroupNumber>
            <FirstName>מיכאל</FirstName>
            <LastName>תמיר</LastName>
            <JudicialPersonTitle>שופט</JudicialPersonTitle>
          </CaseJudicalPersonActive>
        </CaseJudicialPersonPresentationDS>
        <CasePartyID>218172036</CasePartyID>
        <PartyTypeID>3</PartyTypeID>
        <ActivityStatusID>1</ActivityStatusID>
        <LegalEntityID>7551403</LegalEntityID>
        <CaseLegalEntityID>110220440</CaseLegalEntityID>
        <AssistantRoleID>13</AssistantRoleID>
        <AuthenticationTypeID>13</AuthenticationTypeID>
        <AuthenticationTypeName>משרדי ממשלה</AuthenticationTypeName>
        <LegalEntityNumber>513442041</LegalEntityNumber>
        <IsMainPartyType>true</IsMainPartyType>
        <CaseDisplayIdentifier>30103-08-19</CaseDisplayIdentifier>
        <CaseTypeID>10077</CaseTypeID>
        <CaseTypeName>תיק פשעים חמורים (תפ"ח)</CaseTypeName>
        <CaseName>מדינת ישראל נ' קטן</CaseName>
        <FullAddress>נציבות שב"ס רמלה המשרד לביטחון פנים, היחידה לתאום ופיקוח אלקטרוני</FullAddress>
        <MotionID>0</MotionID>
        <CasePleaID>0</CasePleaID>
        <LinkedCaseID>0</LinkedCaseID>
        <PartyID>1</PartyID>
        <CasePartyCategoryID>2</CasePartyCategoryID>
        <LegalEntityAddressID>12916255</LegalEntityAddressID>
        <PleaTypeID>8</PleaTypeID>
        <GroupPartyAlias/>
        <IsConverted>false</IsConverted>
        <LegalEntityRegisteredNameID>9015233</LegalEntityRegisteredNameID>
        <RepresentatedNamesOfAssistant/>
        <LegalEntityTypeID>3</LegalEntityTypeID>
        <IsVerdictExists>false</IsVerdictExists>
        <IsAsirAzir>false</IsAsirAzir>
        <IsPublicationProhibited>false</IsPublicationProhibited>
        <PublicationProhibitedFullName>שב"ס היחידה לתאום ופיקוח אלקטרוני פקא"ל</PublicationProhibitedFullName>
      </CaseParties>
      <CaseParties>
        <PartyTypeName>עד</PartyTypeName>
        <ProceedingType>כתב טענות עיקרי</ProceedingType>
        <PleaName>כתב אישום</PleaName>
        <PartyBelonging> - </PartyBelonging>
        <RoleName>עד בית משפט </RoleName>
        <IsSubProceeding>FALSE</IsSubProceeding>
        <FullName>אנטון פלך</FullName>
        <FirstName>אנטון</FirstName>
        <LastName>פלך</LastName>
        <PartyPropertyName/>
        <AuthenticationTypeAndNumber>ת"ז 332300169</AuthenticationTypeAndNumber>
        <RepresentatedOrRepresentativesNames/>
        <RepresentatedOrRepresentativesCount>0</RepresentatedOrRepresentativesCount>
        <InvitedBy/>
        <CaseID>76703350</CaseID>
        <CaseJudicialPersonPresentationDS>
          <CaseJudicalPersonActive>
            <CaseID>76703350</CaseID>
            <JudicialPersonID>054040928@GOV.IL</JudicialPersonID>
            <JudicialPersonTypeID>1</JudicialPersonTypeID>
            <JudicialTypeID>3</JudicialTypeID>
            <IsChairman>true</IsChairman>
            <TreatmentStartDate>2019-08-15T12:31:38.113+03:00</TreatmentStartDate>
            <TreatmentFinishDate>9999-12-31T23:59:59.997+02:00</TreatmentFinishDate>
            <IdentificationCardNumber>054040928</IdentificationCardNumber>
            <DisplayName>ליאורה ברודי</DisplayName>
            <JudicialTypeName>הרכב שופטים</JudicialTypeName>
            <CaseJudicialGroupNumber>389005</CaseJudicialGroupNumber>
            <FirstName>ליאורה</FirstName>
            <LastName>ברודי</LastName>
            <JudicialPersonTitle>שופט</JudicialPersonTitle>
          </CaseJudicalPersonActive>
          <CaseJudicalPersonActive>
            <CaseID>76703350</CaseID>
            <JudicialPersonID>057331662@GOV.IL</JudicialPersonID>
            <JudicialPersonTypeID>1</JudicialPersonTypeID>
            <JudicialTypeID>3</JudicialTypeID>
            <IsChairman>false</IsChairman>
            <TreatmentStartDate>2019-08-15T12:31:38.113+03:00</TreatmentStartDate>
            <TreatmentFinishDate>9999-12-31T23:59:59.997+02:00</TreatmentFinishDate>
            <IdentificationCardNumber>057331662</IdentificationCardNumber>
            <DisplayName>מיכל ברק נבו</DisplayName>
            <JudicialTypeName>הרכב שופטים</JudicialTypeName>
            <CaseJudicialGroupNumber>389005</CaseJudicialGroupNumber>
            <FirstName>מיכל</FirstName>
            <LastName>ברק נבו</LastName>
            <JudicialPersonTitle>שופט</JudicialPersonTitle>
          </CaseJudicalPersonActive>
          <CaseJudicalPersonActive>
            <CaseID>76703350</CaseID>
            <JudicialPersonID>013813399@GOV.IL</JudicialPersonID>
            <JudicialPersonTypeID>1</JudicialPersonTypeID>
            <JudicialTypeID>3</JudicialTypeID>
            <IsChairman>false</IsChairman>
            <TreatmentStartDate>2019-08-15T12:31:38.113+03:00</TreatmentStartDate>
            <TreatmentFinishDate>9999-12-31T23:59:59.997+02:00</TreatmentFinishDate>
            <IdentificationCardNumber>013813399</IdentificationCardNumber>
            <DisplayName>מיכאל תמיר</DisplayName>
            <JudicialTypeName>הרכב שופטים</JudicialTypeName>
            <CaseJudicialGroupNumber>389005</CaseJudicialGroupNumber>
            <FirstName>מיכאל</FirstName>
            <LastName>תמיר</LastName>
            <JudicialPersonTitle>שופט</JudicialPersonTitle>
          </CaseJudicalPersonActive>
        </CaseJudicialPersonPresentationDS>
        <CasePartyID>215156467</CasePartyID>
        <PartyTypeID>4</PartyTypeID>
        <ActivityStatusID>1</ActivityStatusID>
        <PartyAliasID>101</PartyAliasID>
        <PartyAliasName>עד בית משפט</PartyAliasName>
        <LegalEntityID>76828323</LegalEntityID>
        <CaseLegalEntityID>111985313</CaseLegalEntityID>
        <AuthenticationTypeID>1</AuthenticationTypeID>
        <AuthenticationTypeName>ת"ז</AuthenticationTypeName>
        <LegalEntityNumber>332300169</LegalEntityNumber>
        <IsMainPartyType>true</IsMainPartyType>
        <CaseDisplayIdentifier>30103-08-19</CaseDisplayIdentifier>
        <CaseTypeID>10077</CaseTypeID>
        <CaseTypeName>תיק פשעים חמורים (תפ"ח)</CaseTypeName>
        <CaseName>מדינת ישראל נ' קטן</CaseName>
        <FullAddress>. לוד </FullAddress>
        <MotionID>0</MotionID>
        <CasePleaID>0</CasePleaID>
        <FatherName>אלכסנדר</FatherName>
        <LinkedCaseID>0</LinkedCaseID>
        <PartyID>1</PartyID>
        <CasePartyCategoryID>2</CasePartyCategoryID>
        <LegalEntityAddressID>84215804</LegalEntityAddressID>
        <PleaTypeID>8</PleaTypeID>
        <GroupPartyAlias/>
        <IsConverted>false</IsConverted>
        <LegalEntityRegisteredNameID>7008707</LegalEntityRegisteredNameID>
        <LegalEntityNameID>90050163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אנטון פלך</PublicationProhibitedFullName>
      </CaseParties>
      <CaseParties>
        <PartyTypeName>עד</PartyTypeName>
        <ProceedingType>כתב טענות עיקרי</ProceedingType>
        <PleaName>כתב אישום</PleaName>
        <PartyBelonging> - </PartyBelonging>
        <RoleName>עד בית משפט </RoleName>
        <IsSubProceeding>FALSE</IsSubProceeding>
        <FullName>מרדכי אש</FullName>
        <FirstName>מרדכי</FirstName>
        <LastName>אש</LastName>
        <PartyPropertyName/>
        <AuthenticationTypeAndNumber>ת"ז 051828614</AuthenticationTypeAndNumber>
        <RepresentatedOrRepresentativesNames/>
        <RepresentatedOrRepresentativesCount>0</RepresentatedOrRepresentativesCount>
        <InvitedBy/>
        <CaseID>76703350</CaseID>
        <CaseJudicialPersonPresentationDS>
          <CaseJudicalPersonActive>
            <CaseID>76703350</CaseID>
            <JudicialPersonID>054040928@GOV.IL</JudicialPersonID>
            <JudicialPersonTypeID>1</JudicialPersonTypeID>
            <JudicialTypeID>3</JudicialTypeID>
            <IsChairman>true</IsChairman>
            <TreatmentStartDate>2019-08-15T12:31:38.113+03:00</TreatmentStartDate>
            <TreatmentFinishDate>9999-12-31T23:59:59.997+02:00</TreatmentFinishDate>
            <IdentificationCardNumber>054040928</IdentificationCardNumber>
            <DisplayName>ליאורה ברודי</DisplayName>
            <JudicialTypeName>הרכב שופטים</JudicialTypeName>
            <CaseJudicialGroupNumber>389005</CaseJudicialGroupNumber>
            <FirstName>ליאורה</FirstName>
            <LastName>ברודי</LastName>
            <JudicialPersonTitle>שופט</JudicialPersonTitle>
          </CaseJudicalPersonActive>
          <CaseJudicalPersonActive>
            <CaseID>76703350</CaseID>
            <JudicialPersonID>057331662@GOV.IL</JudicialPersonID>
            <JudicialPersonTypeID>1</JudicialPersonTypeID>
            <JudicialTypeID>3</JudicialTypeID>
            <IsChairman>false</IsChairman>
            <TreatmentStartDate>2019-08-15T12:31:38.113+03:00</TreatmentStartDate>
            <TreatmentFinishDate>9999-12-31T23:59:59.997+02:00</TreatmentFinishDate>
            <IdentificationCardNumber>057331662</IdentificationCardNumber>
            <DisplayName>מיכל ברק נבו</DisplayName>
            <JudicialTypeName>הרכב שופטים</JudicialTypeName>
            <CaseJudicialGroupNumber>389005</CaseJudicialGroupNumber>
            <FirstName>מיכל</FirstName>
            <LastName>ברק נבו</LastName>
            <JudicialPersonTitle>שופט</JudicialPersonTitle>
          </CaseJudicalPersonActive>
          <CaseJudicalPersonActive>
            <CaseID>76703350</CaseID>
            <JudicialPersonID>013813399@GOV.IL</JudicialPersonID>
            <JudicialPersonTypeID>1</JudicialPersonTypeID>
            <JudicialTypeID>3</JudicialTypeID>
            <IsChairman>false</IsChairman>
            <TreatmentStartDate>2019-08-15T12:31:38.113+03:00</TreatmentStartDate>
            <TreatmentFinishDate>9999-12-31T23:59:59.997+02:00</TreatmentFinishDate>
            <IdentificationCardNumber>013813399</IdentificationCardNumber>
            <DisplayName>מיכאל תמיר</DisplayName>
            <JudicialTypeName>הרכב שופטים</JudicialTypeName>
            <CaseJudicialGroupNumber>389005</CaseJudicialGroupNumber>
            <FirstName>מיכאל</FirstName>
            <LastName>תמיר</LastName>
            <JudicialPersonTitle>שופט</JudicialPersonTitle>
          </CaseJudicalPersonActive>
        </CaseJudicialPersonPresentationDS>
        <CasePartyID>253924572</CasePartyID>
        <PartyTypeID>4</PartyTypeID>
        <ActivityStatusID>1</ActivityStatusID>
        <PartyAliasID>101</PartyAliasID>
        <PartyAliasName>עד בית משפט</PartyAliasName>
        <LegalEntityID>23747353</LegalEntityID>
        <CaseLegalEntityID>123801419</CaseLegalEntityID>
        <AuthenticationTypeID>1</AuthenticationTypeID>
        <AuthenticationTypeName>ת"ז</AuthenticationTypeName>
        <LegalEntityNumber>051828614</LegalEntityNumber>
        <IsMainPartyType>true</IsMainPartyType>
        <CaseDisplayIdentifier>30103-08-19</CaseDisplayIdentifier>
        <CaseTypeID>10077</CaseTypeID>
        <CaseTypeName>תיק פשעים חמורים (תפ"ח)</CaseTypeName>
        <CaseName>מדינת ישראל נ' קטן</CaseName>
        <FullAddress>. רמת גן </FullAddress>
        <MotionID>0</MotionID>
        <CasePleaID>0</CasePleaID>
        <FatherName>מאיר</FatherName>
        <LinkedCaseID>0</LinkedCaseID>
        <PartyID>1</PartyID>
        <CasePartyCategoryID>2</CasePartyCategoryID>
        <LegalEntityAddressID>87746647</LegalEntityAddressID>
        <PleaTypeID>8</PleaTypeID>
        <GroupPartyAlias/>
        <IsConverted>false</IsConverted>
        <LegalEntityRegisteredNameID>9472896</LegalEntityRegisteredNameID>
        <LegalEntityNameID>94652394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מרדכי אש</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רחובות</FullName>
        <LastName>שרות מבחן למבוגרים - רחובות</LastName>
        <PartyPropertyName/>
        <AuthenticationTypeAndNumber>משרדי ממשלה 570000779</AuthenticationTypeAndNumber>
        <RepresentatedOrRepresentativesNames/>
        <RepresentatedOrRepresentativesCount>0</RepresentatedOrRepresentativesCount>
        <InvitedBy/>
        <CaseID>76703350</CaseID>
        <CaseJudicialPersonPresentationDS>
          <CaseJudicalPersonActive>
            <CaseID>76703350</CaseID>
            <JudicialPersonID>054040928@GOV.IL</JudicialPersonID>
            <JudicialPersonTypeID>1</JudicialPersonTypeID>
            <JudicialTypeID>3</JudicialTypeID>
            <IsChairman>true</IsChairman>
            <TreatmentStartDate>2019-08-15T12:31:38.113+03:00</TreatmentStartDate>
            <TreatmentFinishDate>9999-12-31T23:59:59.997+02:00</TreatmentFinishDate>
            <IdentificationCardNumber>054040928</IdentificationCardNumber>
            <DisplayName>ליאורה ברודי</DisplayName>
            <JudicialTypeName>הרכב שופטים</JudicialTypeName>
            <CaseJudicialGroupNumber>389005</CaseJudicialGroupNumber>
            <FirstName>ליאורה</FirstName>
            <LastName>ברודי</LastName>
            <JudicialPersonTitle>שופט</JudicialPersonTitle>
          </CaseJudicalPersonActive>
          <CaseJudicalPersonActive>
            <CaseID>76703350</CaseID>
            <JudicialPersonID>057331662@GOV.IL</JudicialPersonID>
            <JudicialPersonTypeID>1</JudicialPersonTypeID>
            <JudicialTypeID>3</JudicialTypeID>
            <IsChairman>false</IsChairman>
            <TreatmentStartDate>2019-08-15T12:31:38.113+03:00</TreatmentStartDate>
            <TreatmentFinishDate>9999-12-31T23:59:59.997+02:00</TreatmentFinishDate>
            <IdentificationCardNumber>057331662</IdentificationCardNumber>
            <DisplayName>מיכל ברק נבו</DisplayName>
            <JudicialTypeName>הרכב שופטים</JudicialTypeName>
            <CaseJudicialGroupNumber>389005</CaseJudicialGroupNumber>
            <FirstName>מיכל</FirstName>
            <LastName>ברק נבו</LastName>
            <JudicialPersonTitle>שופט</JudicialPersonTitle>
          </CaseJudicalPersonActive>
          <CaseJudicalPersonActive>
            <CaseID>76703350</CaseID>
            <JudicialPersonID>013813399@GOV.IL</JudicialPersonID>
            <JudicialPersonTypeID>1</JudicialPersonTypeID>
            <JudicialTypeID>3</JudicialTypeID>
            <IsChairman>false</IsChairman>
            <TreatmentStartDate>2019-08-15T12:31:38.113+03:00</TreatmentStartDate>
            <TreatmentFinishDate>9999-12-31T23:59:59.997+02:00</TreatmentFinishDate>
            <IdentificationCardNumber>013813399</IdentificationCardNumber>
            <DisplayName>מיכאל תמיר</DisplayName>
            <JudicialTypeName>הרכב שופטים</JudicialTypeName>
            <CaseJudicialGroupNumber>389005</CaseJudicialGroupNumber>
            <FirstName>מיכאל</FirstName>
            <LastName>תמיר</LastName>
            <JudicialPersonTitle>שופט</JudicialPersonTitle>
          </CaseJudicalPersonActive>
        </CaseJudicialPersonPresentationDS>
        <CasePartyID>265677224</CasePartyID>
        <PartyTypeID>3</PartyTypeID>
        <ActivityStatusID>1</ActivityStatusID>
        <LegalEntityID>21034188</LegalEntityID>
        <CaseLegalEntityID>127572041</CaseLegalEntityID>
        <AssistantRoleID>14</AssistantRoleID>
        <AuthenticationTypeID>13</AuthenticationTypeID>
        <AuthenticationTypeName>משרדי ממשלה</AuthenticationTypeName>
        <LegalEntityNumber>570000779</LegalEntityNumber>
        <IsMainPartyType>true</IsMainPartyType>
        <CaseDisplayIdentifier>30103-08-19</CaseDisplayIdentifier>
        <CaseTypeID>10077</CaseTypeID>
        <CaseTypeName>תיק פשעים חמורים (תפ"ח)</CaseTypeName>
        <CaseName>מדינת ישראל נ' קטן</CaseName>
        <FullAddress>אופנהיימר 10 פארק המדע רחובות </FullAddress>
        <EmailAddress>f2m_025085173@molsa.gov.il</EmailAddress>
        <MotionID>0</MotionID>
        <CasePleaID>0</CasePleaID>
        <LinkedCaseID>0</LinkedCaseID>
        <PartyID>1</PartyID>
        <CasePartyCategoryID>2</CasePartyCategoryID>
        <LegalEntityAddressID>21367407</LegalEntityAddressID>
        <LegalEntityEmailAddressID>67947563</LegalEntityEmailAddressID>
        <PleaTypeID>8</PleaTypeID>
        <GroupPartyAlias/>
        <IsConverted>false</IsConverted>
        <LegalEntityRegisteredNameID>1807813</LegalEntityRegisteredNameID>
        <RepresentatedNamesOfAssistant/>
        <LegalEntityTypeID>3</LegalEntityTypeID>
        <IsVerdictExists>false</IsVerdictExists>
        <IsAsirAzir>false</IsAsirAzir>
        <IsPublicationProhibited>false</IsPublicationProhibited>
        <PublicationProhibitedFullName>שרות מבחן למבוגרים - רחובות</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אבי כהן</FullName>
        <FirstName>אבי</FirstName>
        <LastName>כהן</LastName>
        <PartyPropertyName/>
        <AuthenticationTypeAndNumber>מ.ר. 17943</AuthenticationTypeAndNumber>
        <RepresentatedOrRepresentativesNames>ויקטור קטן</RepresentatedOrRepresentativesNames>
        <RepresentatedOrRepresentativesCount>1</RepresentatedOrRepresentativesCount>
        <InvitedBy/>
        <CaseID>76703350</CaseID>
        <CaseJudicialPersonPresentationDS>
          <CaseJudicalPersonActive>
            <CaseID>76703350</CaseID>
            <JudicialPersonID>054040928@GOV.IL</JudicialPersonID>
            <JudicialPersonTypeID>1</JudicialPersonTypeID>
            <JudicialTypeID>3</JudicialTypeID>
            <IsChairman>true</IsChairman>
            <TreatmentStartDate>2019-08-15T12:31:38.113+03:00</TreatmentStartDate>
            <TreatmentFinishDate>9999-12-31T23:59:59.997+02:00</TreatmentFinishDate>
            <IdentificationCardNumber>054040928</IdentificationCardNumber>
            <DisplayName>ליאורה ברודי</DisplayName>
            <JudicialTypeName>הרכב שופטים</JudicialTypeName>
            <CaseJudicialGroupNumber>389005</CaseJudicialGroupNumber>
            <FirstName>ליאורה</FirstName>
            <LastName>ברודי</LastName>
            <JudicialPersonTitle>שופט</JudicialPersonTitle>
          </CaseJudicalPersonActive>
          <CaseJudicalPersonActive>
            <CaseID>76703350</CaseID>
            <JudicialPersonID>057331662@GOV.IL</JudicialPersonID>
            <JudicialPersonTypeID>1</JudicialPersonTypeID>
            <JudicialTypeID>3</JudicialTypeID>
            <IsChairman>false</IsChairman>
            <TreatmentStartDate>2019-08-15T12:31:38.113+03:00</TreatmentStartDate>
            <TreatmentFinishDate>9999-12-31T23:59:59.997+02:00</TreatmentFinishDate>
            <IdentificationCardNumber>057331662</IdentificationCardNumber>
            <DisplayName>מיכל ברק נבו</DisplayName>
            <JudicialTypeName>הרכב שופטים</JudicialTypeName>
            <CaseJudicialGroupNumber>389005</CaseJudicialGroupNumber>
            <FirstName>מיכל</FirstName>
            <LastName>ברק נבו</LastName>
            <JudicialPersonTitle>שופט</JudicialPersonTitle>
          </CaseJudicalPersonActive>
          <CaseJudicalPersonActive>
            <CaseID>76703350</CaseID>
            <JudicialPersonID>013813399@GOV.IL</JudicialPersonID>
            <JudicialPersonTypeID>1</JudicialPersonTypeID>
            <JudicialTypeID>3</JudicialTypeID>
            <IsChairman>false</IsChairman>
            <TreatmentStartDate>2019-08-15T12:31:38.113+03:00</TreatmentStartDate>
            <TreatmentFinishDate>9999-12-31T23:59:59.997+02:00</TreatmentFinishDate>
            <IdentificationCardNumber>013813399</IdentificationCardNumber>
            <DisplayName>מיכאל תמיר</DisplayName>
            <JudicialTypeName>הרכב שופטים</JudicialTypeName>
            <CaseJudicialGroupNumber>389005</CaseJudicialGroupNumber>
            <FirstName>מיכאל</FirstName>
            <LastName>תמיר</LastName>
            <JudicialPersonTitle>שופט</JudicialPersonTitle>
          </CaseJudicalPersonActive>
        </CaseJudicialPersonPresentationDS>
        <CasePartyID>210824622</CasePartyID>
        <PartyTypeID>2</PartyTypeID>
        <ActivityStatusID>1</ActivityStatusID>
        <PartyAliasID>32</PartyAliasID>
        <PartyAliasName>בא כוח נאשמים</PartyAliasName>
        <LegalEntityID>397797</LegalEntityID>
        <CaseLegalEntityID>110739017</CaseLegalEntityID>
        <AuthenticationTypeID>4</AuthenticationTypeID>
        <AuthenticationTypeName>מ.ר.</AuthenticationTypeName>
        <LegalEntityNumber>17943</LegalEntityNumber>
        <IsMainPartyType>true</IsMainPartyType>
        <CaseDisplayIdentifier>30103-08-19</CaseDisplayIdentifier>
        <CaseTypeID>10077</CaseTypeID>
        <CaseTypeName>תיק פשעים חמורים (תפ"ח)</CaseTypeName>
        <CaseName>מדינת ישראל נ' קטן</CaseName>
        <FullAddress>שדרות שאול המלך 39 (בית הדר דפנה) תל אביב -יפו בנין B קומה 6</FullAddress>
        <EmailAddress>avicohenlaw50@gmail.com</EmailAddress>
        <MotionID>0</MotionID>
        <CasePleaID>0</CasePleaID>
        <FatherName xml:space="preserve">        </FatherName>
        <LinkedCaseID>0</LinkedCaseID>
        <PartyID>2</PartyID>
        <CasePartyCategoryID>2</CasePartyCategoryID>
        <LegalEntityAddressID>79856188</LegalEntityAddressID>
        <LegalEntityEmailAddressID>67913662</LegalEntityEmailAddressID>
        <PleaTypeID>8</PleaTypeID>
        <LawyerOfficeName>משרד עו"ד: אבי כהן</LawyerOfficeName>
        <LawyerOfficeID>438441</LawyerOfficeID>
        <GroupPartyAlias/>
        <IsConverted>false</IsConverted>
        <LegalEntityNameID>18781</LegalEntityNameID>
        <RepresentatedNamesOfAssistant/>
        <LegalEntityTypeID>4</LegalEntityTypeID>
        <IsVerdictExists>false</IsVerdictExists>
        <IsAsirAzir>false</IsAsirAzir>
        <IsPublicationProhibited>false</IsPublicationProhibited>
        <PublicationProhibitedFullName>אבי כהן</PublicationProhibitedFullName>
      </CaseParties>
      <CaseParties>
        <PartyTypeName>עד</PartyTypeName>
        <ProceedingType>כתב טענות עיקרי</ProceedingType>
        <PleaName>כתב אישום</PleaName>
        <PartyBelonging> - </PartyBelonging>
        <RoleName>עד בית משפט 1</RoleName>
        <IsSubProceeding>FALSE</IsSubProceeding>
        <FullName>שלום אילאייב</FullName>
        <FirstName>שלום</FirstName>
        <LastName>איליאייב</LastName>
        <PartyPropertyName/>
        <AuthenticationTypeAndNumber>ת"ז 313527731</AuthenticationTypeAndNumber>
        <RepresentatedOrRepresentativesNames/>
        <RepresentatedOrRepresentativesCount>0</RepresentatedOrRepresentativesCount>
        <InvitedBy/>
        <CaseID>76703350</CaseID>
        <CaseJudicialPersonPresentationDS>
          <CaseJudicalPersonActive>
            <CaseID>76703350</CaseID>
            <JudicialPersonID>054040928@GOV.IL</JudicialPersonID>
            <JudicialPersonTypeID>1</JudicialPersonTypeID>
            <JudicialTypeID>3</JudicialTypeID>
            <IsChairman>true</IsChairman>
            <TreatmentStartDate>2019-08-15T12:31:38.113+03:00</TreatmentStartDate>
            <TreatmentFinishDate>9999-12-31T23:59:59.997+02:00</TreatmentFinishDate>
            <IdentificationCardNumber>054040928</IdentificationCardNumber>
            <DisplayName>ליאורה ברודי</DisplayName>
            <JudicialTypeName>הרכב שופטים</JudicialTypeName>
            <CaseJudicialGroupNumber>389005</CaseJudicialGroupNumber>
            <FirstName>ליאורה</FirstName>
            <LastName>ברודי</LastName>
            <JudicialPersonTitle>שופט</JudicialPersonTitle>
          </CaseJudicalPersonActive>
          <CaseJudicalPersonActive>
            <CaseID>76703350</CaseID>
            <JudicialPersonID>057331662@GOV.IL</JudicialPersonID>
            <JudicialPersonTypeID>1</JudicialPersonTypeID>
            <JudicialTypeID>3</JudicialTypeID>
            <IsChairman>false</IsChairman>
            <TreatmentStartDate>2019-08-15T12:31:38.113+03:00</TreatmentStartDate>
            <TreatmentFinishDate>9999-12-31T23:59:59.997+02:00</TreatmentFinishDate>
            <IdentificationCardNumber>057331662</IdentificationCardNumber>
            <DisplayName>מיכל ברק נבו</DisplayName>
            <JudicialTypeName>הרכב שופטים</JudicialTypeName>
            <CaseJudicialGroupNumber>389005</CaseJudicialGroupNumber>
            <FirstName>מיכל</FirstName>
            <LastName>ברק נבו</LastName>
            <JudicialPersonTitle>שופט</JudicialPersonTitle>
          </CaseJudicalPersonActive>
          <CaseJudicalPersonActive>
            <CaseID>76703350</CaseID>
            <JudicialPersonID>013813399@GOV.IL</JudicialPersonID>
            <JudicialPersonTypeID>1</JudicialPersonTypeID>
            <JudicialTypeID>3</JudicialTypeID>
            <IsChairman>false</IsChairman>
            <TreatmentStartDate>2019-08-15T12:31:38.113+03:00</TreatmentStartDate>
            <TreatmentFinishDate>9999-12-31T23:59:59.997+02:00</TreatmentFinishDate>
            <IdentificationCardNumber>013813399</IdentificationCardNumber>
            <DisplayName>מיכאל תמיר</DisplayName>
            <JudicialTypeName>הרכב שופטים</JudicialTypeName>
            <CaseJudicialGroupNumber>389005</CaseJudicialGroupNumber>
            <FirstName>מיכאל</FirstName>
            <LastName>תמיר</LastName>
            <JudicialPersonTitle>שופט</JudicialPersonTitle>
          </CaseJudicalPersonActive>
        </CaseJudicialPersonPresentationDS>
        <CasePartyID>215156316</CasePartyID>
        <PartyTypeID>4</PartyTypeID>
        <ActivityStatusID>1</ActivityStatusID>
        <PartyAliasID>101</PartyAliasID>
        <PartyAliasName>עד בית משפט</PartyAliasName>
        <OrdinalNumber>1</OrdinalNumber>
        <LegalEntityID>79158487</LegalEntityID>
        <CaseLegalEntityID>111985262</CaseLegalEntityID>
        <AuthenticationTypeID>1</AuthenticationTypeID>
        <AuthenticationTypeName>ת"ז</AuthenticationTypeName>
        <LegalEntityNumber>313527731</LegalEntityNumber>
        <IsMainPartyType>true</IsMainPartyType>
        <CaseDisplayIdentifier>30103-08-19</CaseDisplayIdentifier>
        <CaseTypeID>10077</CaseTypeID>
        <CaseTypeName>תיק פשעים חמורים (תפ"ח)</CaseTypeName>
        <CaseName>מדינת ישראל נ' קטן</CaseName>
        <FullAddress>. לוד </FullAddress>
        <MotionID>0</MotionID>
        <CasePleaID>0</CasePleaID>
        <FatherName>ג'ורא</FatherName>
        <LinkedCaseID>0</LinkedCaseID>
        <PartyID>1</PartyID>
        <CasePartyCategoryID>2</CasePartyCategoryID>
        <LegalEntityAddressID>84215794</LegalEntityAddressID>
        <PleaTypeID>8</PleaTypeID>
        <GroupPartyAlias/>
        <IsConverted>false</IsConverted>
        <LegalEntityRegisteredNameID>9217393</LegalEntityRegisteredNameID>
        <LegalEntityNameID>90050152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שלום אילאייב</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76703350</CaseID>
        <CaseJudicialPersonPresentationDS>
          <CaseJudicalPersonActive>
            <CaseID>76703350</CaseID>
            <JudicialPersonID>054040928@GOV.IL</JudicialPersonID>
            <JudicialPersonTypeID>1</JudicialPersonTypeID>
            <JudicialTypeID>3</JudicialTypeID>
            <IsChairman>true</IsChairman>
            <TreatmentStartDate>2019-08-15T12:31:38.113+03:00</TreatmentStartDate>
            <TreatmentFinishDate>9999-12-31T23:59:59.997+02:00</TreatmentFinishDate>
            <IdentificationCardNumber>054040928</IdentificationCardNumber>
            <DisplayName>ליאורה ברודי</DisplayName>
            <JudicialTypeName>הרכב שופטים</JudicialTypeName>
            <CaseJudicialGroupNumber>389005</CaseJudicialGroupNumber>
            <FirstName>ליאורה</FirstName>
            <LastName>ברודי</LastName>
            <JudicialPersonTitle>שופט</JudicialPersonTitle>
          </CaseJudicalPersonActive>
          <CaseJudicalPersonActive>
            <CaseID>76703350</CaseID>
            <JudicialPersonID>057331662@GOV.IL</JudicialPersonID>
            <JudicialPersonTypeID>1</JudicialPersonTypeID>
            <JudicialTypeID>3</JudicialTypeID>
            <IsChairman>false</IsChairman>
            <TreatmentStartDate>2019-08-15T12:31:38.113+03:00</TreatmentStartDate>
            <TreatmentFinishDate>9999-12-31T23:59:59.997+02:00</TreatmentFinishDate>
            <IdentificationCardNumber>057331662</IdentificationCardNumber>
            <DisplayName>מיכל ברק נבו</DisplayName>
            <JudicialTypeName>הרכב שופטים</JudicialTypeName>
            <CaseJudicialGroupNumber>389005</CaseJudicialGroupNumber>
            <FirstName>מיכל</FirstName>
            <LastName>ברק נבו</LastName>
            <JudicialPersonTitle>שופט</JudicialPersonTitle>
          </CaseJudicalPersonActive>
          <CaseJudicalPersonActive>
            <CaseID>76703350</CaseID>
            <JudicialPersonID>013813399@GOV.IL</JudicialPersonID>
            <JudicialPersonTypeID>1</JudicialPersonTypeID>
            <JudicialTypeID>3</JudicialTypeID>
            <IsChairman>false</IsChairman>
            <TreatmentStartDate>2019-08-15T12:31:38.113+03:00</TreatmentStartDate>
            <TreatmentFinishDate>9999-12-31T23:59:59.997+02:00</TreatmentFinishDate>
            <IdentificationCardNumber>013813399</IdentificationCardNumber>
            <DisplayName>מיכאל תמיר</DisplayName>
            <JudicialTypeName>הרכב שופטים</JudicialTypeName>
            <CaseJudicialGroupNumber>389005</CaseJudicialGroupNumber>
            <FirstName>מיכאל</FirstName>
            <LastName>תמיר</LastName>
            <JudicialPersonTitle>שופט</JudicialPersonTitle>
          </CaseJudicalPersonActive>
        </CaseJudicialPersonPresentationDS>
        <CasePartyID>200980587</CasePartyID>
        <PartyTypeID>1</PartyTypeID>
        <ActivityStatusID>1</ActivityStatusID>
        <PartyAliasID>11</PartyAliasID>
        <PartyAliasName>מאשימה</PartyAliasName>
        <OrdinalNumber>1</OrdinalNumber>
        <LegalEntityID>4</LegalEntityID>
        <CaseLegalEntityID>107795111</CaseLegalEntityID>
        <AuthenticationTypeID>41</AuthenticationTypeID>
        <AuthenticationTypeName>מדינת ישראל </AuthenticationTypeName>
        <LegalEntityNumber/>
        <IsMainPartyType>true</IsMainPartyType>
        <CaseDisplayIdentifier>30103-08-19</CaseDisplayIdentifier>
        <CaseTypeID>10077</CaseTypeID>
        <CaseTypeName>תיק פשעים חמורים (תפ"ח)</CaseTypeName>
        <CaseName>מדינת ישראל נ' קטן</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76703350</CaseID>
        <CaseJudicialPersonPresentationDS>
          <CaseJudicalPersonActive>
            <CaseID>76703350</CaseID>
            <JudicialPersonID>054040928@GOV.IL</JudicialPersonID>
            <JudicialPersonTypeID>1</JudicialPersonTypeID>
            <JudicialTypeID>3</JudicialTypeID>
            <IsChairman>true</IsChairman>
            <TreatmentStartDate>2019-08-15T12:31:38.113+03:00</TreatmentStartDate>
            <TreatmentFinishDate>9999-12-31T23:59:59.997+02:00</TreatmentFinishDate>
            <IdentificationCardNumber>054040928</IdentificationCardNumber>
            <DisplayName>ליאורה ברודי</DisplayName>
            <JudicialTypeName>הרכב שופטים</JudicialTypeName>
            <CaseJudicialGroupNumber>389005</CaseJudicialGroupNumber>
            <FirstName>ליאורה</FirstName>
            <LastName>ברודי</LastName>
            <JudicialPersonTitle>שופט</JudicialPersonTitle>
          </CaseJudicalPersonActive>
          <CaseJudicalPersonActive>
            <CaseID>76703350</CaseID>
            <JudicialPersonID>057331662@GOV.IL</JudicialPersonID>
            <JudicialPersonTypeID>1</JudicialPersonTypeID>
            <JudicialTypeID>3</JudicialTypeID>
            <IsChairman>false</IsChairman>
            <TreatmentStartDate>2019-08-15T12:31:38.113+03:00</TreatmentStartDate>
            <TreatmentFinishDate>9999-12-31T23:59:59.997+02:00</TreatmentFinishDate>
            <IdentificationCardNumber>057331662</IdentificationCardNumber>
            <DisplayName>מיכל ברק נבו</DisplayName>
            <JudicialTypeName>הרכב שופטים</JudicialTypeName>
            <CaseJudicialGroupNumber>389005</CaseJudicialGroupNumber>
            <FirstName>מיכל</FirstName>
            <LastName>ברק נבו</LastName>
            <JudicialPersonTitle>שופט</JudicialPersonTitle>
          </CaseJudicalPersonActive>
          <CaseJudicalPersonActive>
            <CaseID>76703350</CaseID>
            <JudicialPersonID>013813399@GOV.IL</JudicialPersonID>
            <JudicialPersonTypeID>1</JudicialPersonTypeID>
            <JudicialTypeID>3</JudicialTypeID>
            <IsChairman>false</IsChairman>
            <TreatmentStartDate>2019-08-15T12:31:38.113+03:00</TreatmentStartDate>
            <TreatmentFinishDate>9999-12-31T23:59:59.997+02:00</TreatmentFinishDate>
            <IdentificationCardNumber>013813399</IdentificationCardNumber>
            <DisplayName>מיכאל תמיר</DisplayName>
            <JudicialTypeName>הרכב שופטים</JudicialTypeName>
            <CaseJudicialGroupNumber>389005</CaseJudicialGroupNumber>
            <FirstName>מיכאל</FirstName>
            <LastName>תמיר</LastName>
            <JudicialPersonTitle>שופט</JudicialPersonTitle>
          </CaseJudicalPersonActive>
        </CaseJudicialPersonPresentationDS>
        <CasePartyID>200980588</CasePartyID>
        <PartyTypeID>2</PartyTypeID>
        <ActivityStatusID>1</ActivityStatusID>
        <PartyAliasID>30</PartyAliasID>
        <PartyAliasName>בא כוח מאשימה</PartyAliasName>
        <OrdinalNumber>1</OrdinalNumber>
        <LegalEntityID>398656</LegalEntityID>
        <CaseLegalEntityID>107795112</CaseLegalEntityID>
        <AuthenticationTypeID>4</AuthenticationTypeID>
        <AuthenticationTypeName>מ.ר.</AuthenticationTypeName>
        <LegalEntityNumber>19202</LegalEntityNumber>
        <IsMainPartyType>true</IsMainPartyType>
        <CaseDisplayIdentifier>30103-08-19</CaseDisplayIdentifier>
        <CaseTypeID>10077</CaseTypeID>
        <CaseTypeName>תיק פשעים חמורים (תפ"ח)</CaseTypeName>
        <CaseName>מדינת ישראל נ' קטן</CaseName>
        <FullAddress>הנרייטה סולד 1 תל אביב -יפו </FullAddress>
        <EmailAddress>pamam-plili@justice.gov.il</EmailAddress>
        <MotionID>0</MotionID>
        <CasePleaID>0</CasePleaID>
        <LinkedCaseID>0</LinkedCaseID>
        <PartyID>1</PartyID>
        <CasePartyCategoryID>2</CasePartyCategoryID>
        <LegalEntityAddressID>70303721</LegalEntityAddressID>
        <LegalEntityEmailAddressID>68305138</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ויקטור קטן</FullName>
        <FirstName>ויקטור</FirstName>
        <LastName>קטן</LastName>
        <PartyPropertyName/>
        <AuthenticationTypeAndNumber>ת"ז 012705257</AuthenticationTypeAndNumber>
        <RepresentatedOrRepresentativesNames>אבי כהן</RepresentatedOrRepresentativesNames>
        <RepresentatedOrRepresentativesCount>1</RepresentatedOrRepresentativesCount>
        <InvitedBy/>
        <CaseID>76703350</CaseID>
        <CaseJudicialPersonPresentationDS>
          <CaseJudicalPersonActive>
            <CaseID>76703350</CaseID>
            <JudicialPersonID>054040928@GOV.IL</JudicialPersonID>
            <JudicialPersonTypeID>1</JudicialPersonTypeID>
            <JudicialTypeID>3</JudicialTypeID>
            <IsChairman>true</IsChairman>
            <TreatmentStartDate>2019-08-15T12:31:38.113+03:00</TreatmentStartDate>
            <TreatmentFinishDate>9999-12-31T23:59:59.997+02:00</TreatmentFinishDate>
            <IdentificationCardNumber>054040928</IdentificationCardNumber>
            <DisplayName>ליאורה ברודי</DisplayName>
            <JudicialTypeName>הרכב שופטים</JudicialTypeName>
            <CaseJudicialGroupNumber>389005</CaseJudicialGroupNumber>
            <FirstName>ליאורה</FirstName>
            <LastName>ברודי</LastName>
            <JudicialPersonTitle>שופט</JudicialPersonTitle>
          </CaseJudicalPersonActive>
          <CaseJudicalPersonActive>
            <CaseID>76703350</CaseID>
            <JudicialPersonID>057331662@GOV.IL</JudicialPersonID>
            <JudicialPersonTypeID>1</JudicialPersonTypeID>
            <JudicialTypeID>3</JudicialTypeID>
            <IsChairman>false</IsChairman>
            <TreatmentStartDate>2019-08-15T12:31:38.113+03:00</TreatmentStartDate>
            <TreatmentFinishDate>9999-12-31T23:59:59.997+02:00</TreatmentFinishDate>
            <IdentificationCardNumber>057331662</IdentificationCardNumber>
            <DisplayName>מיכל ברק נבו</DisplayName>
            <JudicialTypeName>הרכב שופטים</JudicialTypeName>
            <CaseJudicialGroupNumber>389005</CaseJudicialGroupNumber>
            <FirstName>מיכל</FirstName>
            <LastName>ברק נבו</LastName>
            <JudicialPersonTitle>שופט</JudicialPersonTitle>
          </CaseJudicalPersonActive>
          <CaseJudicalPersonActive>
            <CaseID>76703350</CaseID>
            <JudicialPersonID>013813399@GOV.IL</JudicialPersonID>
            <JudicialPersonTypeID>1</JudicialPersonTypeID>
            <JudicialTypeID>3</JudicialTypeID>
            <IsChairman>false</IsChairman>
            <TreatmentStartDate>2019-08-15T12:31:38.113+03:00</TreatmentStartDate>
            <TreatmentFinishDate>9999-12-31T23:59:59.997+02:00</TreatmentFinishDate>
            <IdentificationCardNumber>013813399</IdentificationCardNumber>
            <DisplayName>מיכאל תמיר</DisplayName>
            <JudicialTypeName>הרכב שופטים</JudicialTypeName>
            <CaseJudicialGroupNumber>389005</CaseJudicialGroupNumber>
            <FirstName>מיכאל</FirstName>
            <LastName>תמיר</LastName>
            <JudicialPersonTitle>שופט</JudicialPersonTitle>
          </CaseJudicalPersonActive>
        </CaseJudicialPersonPresentationDS>
        <CasePartyID>200980589</CasePartyID>
        <PartyTypeID>1</PartyTypeID>
        <ActivityStatusID>1</ActivityStatusID>
        <PartyAliasID>13</PartyAliasID>
        <PartyAliasName>נאשם</PartyAliasName>
        <OrdinalNumber>1</OrdinalNumber>
        <LegalEntityID>73981101</LegalEntityID>
        <CaseLegalEntityID>107795113</CaseLegalEntityID>
        <AuthenticationTypeID>1</AuthenticationTypeID>
        <AuthenticationTypeName>ת"ז</AuthenticationTypeName>
        <LegalEntityNumber>012705257</LegalEntityNumber>
        <IsMainPartyType>true</IsMainPartyType>
        <CaseDisplayIdentifier>30103-08-19</CaseDisplayIdentifier>
        <CaseTypeID>10077</CaseTypeID>
        <CaseTypeName>תיק פשעים חמורים (תפ"ח)</CaseTypeName>
        <CaseName>מדינת ישראל נ' קטן</CaseName>
        <FullAddress/>
        <MotionID>0</MotionID>
        <CasePleaID>0</CasePleaID>
        <FatherName>יעקב</FatherName>
        <LinkedCaseID>0</LinkedCaseID>
        <PartyID>2</PartyID>
        <CasePartyCategoryID>2</CasePartyCategoryID>
        <PleaTypeID>8</PleaTypeID>
        <GroupPartyAlias>נאשמים</GroupPartyAlias>
        <IsConverted>false</IsConverted>
        <LegalEntityRegisteredNameID>8746324</LegalEntityRegisteredNameID>
        <LegalEntityNameID>88256405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ויקטור קטן</PublicationProhibitedFullName>
      </CaseParties>
    </CasePartiesSelectionDS>
    <DecisionName>גזר דין  שניתנה ע"י  ליאורה ברודי</DecisionName>
    <CourtDisplayName>בית המשפט המחוזי מרכז-לוד</CourtDisplayName>
    <IsCaseJudgePanel>true</IsCaseJudgePanel>
    <DecisionSignatureDate>2024-06-02T09:06:52.3640601+03:00</DecisionSignatureDate>
    <OpenCaseDate>2019-08-14T09:04:00+03:00</OpenCaseDate>
    <ExternalCaseNumber>328762/2019</ExternalCaseNumber>
    <DecisionTypeID>4</DecisionTypeID>
    <DecisionSignatureUserName>ליאורה ברודי</DecisionSignatureUserName>
    <DecisionSignatureDateHebrew>2024-06-02T09:06:52.3640601+03:00</DecisionSignatureDateHebrew>
    <DecisionWriterID>054040928@GOV.IL</DecisionWriterID>
    <CourtAddress>רח' שדרות הציונות 3, לוד -1</CourtAddress>
    <IsAutoTextInCaseExist>false</IsAutoTextInCaseExist>
    <DecisionSignatureRoleName>שופט</DecisionSignatureRoleName>
    <DecisionSignatureUserTitleName>שופטת, סגנית הנשיאה</DecisionSignatureUserTitleName>
    <CaseName>מדינת ישראל נ' קטן</CaseName>
    <DecisionNumberInCase>46</DecisionNumberInCase>
  </dt_Decision>
  <dt_DecisionCase>
    <DecisionID>0</DecisionID>
    <CaseID>76703350</CaseID>
    <CaseJudicialPersonPresentationDS>
      <CaseJudicalPersonActive>
        <CaseID>76703350</CaseID>
        <JudicialPersonID>054040928@GOV.IL</JudicialPersonID>
        <JudicialPersonTypeID>1</JudicialPersonTypeID>
        <JudicialTypeID>3</JudicialTypeID>
        <IsChairman>true</IsChairman>
        <TreatmentStartDate>2019-08-15T12:31:38.113+03:00</TreatmentStartDate>
        <TreatmentFinishDate>9999-12-31T23:59:59.997+02:00</TreatmentFinishDate>
        <IdentificationCardNumber>054040928</IdentificationCardNumber>
        <DisplayName>ליאורה ברודי</DisplayName>
        <JudicialTypeName>הרכב שופטים</JudicialTypeName>
        <CaseJudicialGroupNumber>389005</CaseJudicialGroupNumber>
        <FirstName>ליאורה</FirstName>
        <LastName>ברודי</LastName>
        <JudicialPersonTitle>שופט</JudicialPersonTitle>
      </CaseJudicalPersonActive>
      <CaseJudicalPersonActive>
        <CaseID>76703350</CaseID>
        <JudicialPersonID>057331662@GOV.IL</JudicialPersonID>
        <JudicialPersonTypeID>1</JudicialPersonTypeID>
        <JudicialTypeID>3</JudicialTypeID>
        <IsChairman>false</IsChairman>
        <TreatmentStartDate>2019-08-15T12:31:38.113+03:00</TreatmentStartDate>
        <TreatmentFinishDate>9999-12-31T23:59:59.997+02:00</TreatmentFinishDate>
        <IdentificationCardNumber>057331662</IdentificationCardNumber>
        <DisplayName>מיכל ברק נבו</DisplayName>
        <JudicialTypeName>הרכב שופטים</JudicialTypeName>
        <CaseJudicialGroupNumber>389005</CaseJudicialGroupNumber>
        <FirstName>מיכל</FirstName>
        <LastName>ברק נבו</LastName>
        <JudicialPersonTitle>שופט</JudicialPersonTitle>
      </CaseJudicalPersonActive>
      <CaseJudicalPersonActive>
        <CaseID>76703350</CaseID>
        <JudicialPersonID>013813399@GOV.IL</JudicialPersonID>
        <JudicialPersonTypeID>1</JudicialPersonTypeID>
        <JudicialTypeID>3</JudicialTypeID>
        <IsChairman>false</IsChairman>
        <TreatmentStartDate>2019-08-15T12:31:38.113+03:00</TreatmentStartDate>
        <TreatmentFinishDate>9999-12-31T23:59:59.997+02:00</TreatmentFinishDate>
        <IdentificationCardNumber>013813399</IdentificationCardNumber>
        <DisplayName>מיכאל תמיר</DisplayName>
        <JudicialTypeName>הרכב שופטים</JudicialTypeName>
        <CaseJudicialGroupNumber>389005</CaseJudicialGroupNumber>
        <FirstName>מיכאל</FirstName>
        <LastName>תמיר</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ציבורית מחוז מרכז</FullName>
        <LastName>הסנגוריה ציבורית מחוז מרכז</LastName>
        <PartyPropertyName/>
        <AuthenticationTypeAndNumber>משרדי ממשלה 570000489</AuthenticationTypeAndNumber>
        <RepresentatedOrRepresentativesNames/>
        <RepresentatedOrRepresentativesCount>0</RepresentatedOrRepresentativesCount>
        <InvitedBy/>
        <CaseID>76703350</CaseID>
        <CaseJudicialPersonPresentationDS>
          <CaseJudicalPersonActive>
            <CaseID>76703350</CaseID>
            <JudicialPersonID>054040928@GOV.IL</JudicialPersonID>
            <JudicialPersonTypeID>1</JudicialPersonTypeID>
            <JudicialTypeID>3</JudicialTypeID>
            <IsChairman>true</IsChairman>
            <TreatmentStartDate>2019-08-15T12:31:38.113+03:00</TreatmentStartDate>
            <TreatmentFinishDate>9999-12-31T23:59:59.997+02:00</TreatmentFinishDate>
            <IdentificationCardNumber>054040928</IdentificationCardNumber>
            <DisplayName>ליאורה ברודי</DisplayName>
            <JudicialTypeName>הרכב שופטים</JudicialTypeName>
            <CaseJudicialGroupNumber>389005</CaseJudicialGroupNumber>
            <FirstName>ליאורה</FirstName>
            <LastName>ברודי</LastName>
            <JudicialPersonTitle>שופט</JudicialPersonTitle>
          </CaseJudicalPersonActive>
          <CaseJudicalPersonActive>
            <CaseID>76703350</CaseID>
            <JudicialPersonID>057331662@GOV.IL</JudicialPersonID>
            <JudicialPersonTypeID>1</JudicialPersonTypeID>
            <JudicialTypeID>3</JudicialTypeID>
            <IsChairman>false</IsChairman>
            <TreatmentStartDate>2019-08-15T12:31:38.113+03:00</TreatmentStartDate>
            <TreatmentFinishDate>9999-12-31T23:59:59.997+02:00</TreatmentFinishDate>
            <IdentificationCardNumber>057331662</IdentificationCardNumber>
            <DisplayName>מיכל ברק נבו</DisplayName>
            <JudicialTypeName>הרכב שופטים</JudicialTypeName>
            <CaseJudicialGroupNumber>389005</CaseJudicialGroupNumber>
            <FirstName>מיכל</FirstName>
            <LastName>ברק נבו</LastName>
            <JudicialPersonTitle>שופט</JudicialPersonTitle>
          </CaseJudicalPersonActive>
          <CaseJudicalPersonActive>
            <CaseID>76703350</CaseID>
            <JudicialPersonID>013813399@GOV.IL</JudicialPersonID>
            <JudicialPersonTypeID>1</JudicialPersonTypeID>
            <JudicialTypeID>3</JudicialTypeID>
            <IsChairman>false</IsChairman>
            <TreatmentStartDate>2019-08-15T12:31:38.113+03:00</TreatmentStartDate>
            <TreatmentFinishDate>9999-12-31T23:59:59.997+02:00</TreatmentFinishDate>
            <IdentificationCardNumber>013813399</IdentificationCardNumber>
            <DisplayName>מיכאל תמיר</DisplayName>
            <JudicialTypeName>הרכב שופטים</JudicialTypeName>
            <CaseJudicialGroupNumber>389005</CaseJudicialGroupNumber>
            <FirstName>מיכאל</FirstName>
            <LastName>תמיר</LastName>
            <JudicialPersonTitle>שופט</JudicialPersonTitle>
          </CaseJudicalPersonActive>
        </CaseJudicialPersonPresentationDS>
        <CasePartyID>207984491</CasePartyID>
        <PartyTypeID>3</PartyTypeID>
        <ActivityStatusID>1</ActivityStatusID>
        <LegalEntityID>12733419</LegalEntityID>
        <CaseLegalEntityID>109849822</CaseLegalEntityID>
        <AssistantRoleID>26</AssistantRoleID>
        <AuthenticationTypeID>13</AuthenticationTypeID>
        <AuthenticationTypeName>משרדי ממשלה</AuthenticationTypeName>
        <LegalEntityNumber>570000489</LegalEntityNumber>
        <IsMainPartyType>true</IsMainPartyType>
        <CaseDisplayIdentifier>30103-08-19</CaseDisplayIdentifier>
        <CaseTypeID>10077</CaseTypeID>
        <CaseTypeName>תיק פשעים חמורים (תפ"ח)</CaseTypeName>
        <CaseName>מדינת ישראל נ' קטן</CaseName>
        <FullAddress/>
        <EmailAddress>sanminuiimmerkaz@justice.gov.il</EmailAddress>
        <MotionID>0</MotionID>
        <CasePleaID>0</CasePleaID>
        <LinkedCaseID>0</LinkedCaseID>
        <PartyID>1</PartyID>
        <CasePartyCategoryID>2</CasePartyCategoryID>
        <LegalEntityEmailAddressID>68005264</LegalEntityEmailAddressID>
        <PleaTypeID>8</PleaTypeID>
        <GroupPartyAlias/>
        <IsConverted>false</IsConverted>
        <LegalEntityRegisteredNameID>5560370</LegalEntityRegisteredNameID>
        <RepresentatedNamesOfAssistant/>
        <LegalEntityTypeID>3</LegalEntityTypeID>
        <IsVerdictExists>false</IsVerdictExists>
        <IsAsirAzir>false</IsAsirAzir>
        <IsPublicationProhibited>false</IsPublicationProhibited>
        <PublicationProhibitedFullName>הסנגוריה ציבורית מחוז מרכז</PublicationProhibitedFullName>
      </CaseParties>
      <CaseParties>
        <PartyTypeName>מסייע</PartyTypeName>
        <ProceedingType>כתב טענות עיקרי</ProceedingType>
        <PleaName>כתב אישום</PleaName>
        <PartyBelonging> - </PartyBelonging>
        <RoleName>שירות בתי הסוהר</RoleName>
        <IsSubProceeding>FALSE</IsSubProceeding>
        <FullName>שב"ס היחידה לתאום ופיקוח אלקטרוני פקא"ל</FullName>
        <LastName>שב"ס היחידה לתאום ופיקוח אלקטרוני פקא"ל</LastName>
        <PartyPropertyName/>
        <AuthenticationTypeAndNumber>משרדי ממשלה 513442041</AuthenticationTypeAndNumber>
        <RepresentatedOrRepresentativesNames/>
        <RepresentatedOrRepresentativesCount>0</RepresentatedOrRepresentativesCount>
        <InvitedBy/>
        <CaseID>76703350</CaseID>
        <CaseJudicialPersonPresentationDS>
          <CaseJudicalPersonActive>
            <CaseID>76703350</CaseID>
            <JudicialPersonID>054040928@GOV.IL</JudicialPersonID>
            <JudicialPersonTypeID>1</JudicialPersonTypeID>
            <JudicialTypeID>3</JudicialTypeID>
            <IsChairman>true</IsChairman>
            <TreatmentStartDate>2019-08-15T12:31:38.113+03:00</TreatmentStartDate>
            <TreatmentFinishDate>9999-12-31T23:59:59.997+02:00</TreatmentFinishDate>
            <IdentificationCardNumber>054040928</IdentificationCardNumber>
            <DisplayName>ליאורה ברודי</DisplayName>
            <JudicialTypeName>הרכב שופטים</JudicialTypeName>
            <CaseJudicialGroupNumber>389005</CaseJudicialGroupNumber>
            <FirstName>ליאורה</FirstName>
            <LastName>ברודי</LastName>
            <JudicialPersonTitle>שופט</JudicialPersonTitle>
          </CaseJudicalPersonActive>
          <CaseJudicalPersonActive>
            <CaseID>76703350</CaseID>
            <JudicialPersonID>057331662@GOV.IL</JudicialPersonID>
            <JudicialPersonTypeID>1</JudicialPersonTypeID>
            <JudicialTypeID>3</JudicialTypeID>
            <IsChairman>false</IsChairman>
            <TreatmentStartDate>2019-08-15T12:31:38.113+03:00</TreatmentStartDate>
            <TreatmentFinishDate>9999-12-31T23:59:59.997+02:00</TreatmentFinishDate>
            <IdentificationCardNumber>057331662</IdentificationCardNumber>
            <DisplayName>מיכל ברק נבו</DisplayName>
            <JudicialTypeName>הרכב שופטים</JudicialTypeName>
            <CaseJudicialGroupNumber>389005</CaseJudicialGroupNumber>
            <FirstName>מיכל</FirstName>
            <LastName>ברק נבו</LastName>
            <JudicialPersonTitle>שופט</JudicialPersonTitle>
          </CaseJudicalPersonActive>
          <CaseJudicalPersonActive>
            <CaseID>76703350</CaseID>
            <JudicialPersonID>013813399@GOV.IL</JudicialPersonID>
            <JudicialPersonTypeID>1</JudicialPersonTypeID>
            <JudicialTypeID>3</JudicialTypeID>
            <IsChairman>false</IsChairman>
            <TreatmentStartDate>2019-08-15T12:31:38.113+03:00</TreatmentStartDate>
            <TreatmentFinishDate>9999-12-31T23:59:59.997+02:00</TreatmentFinishDate>
            <IdentificationCardNumber>013813399</IdentificationCardNumber>
            <DisplayName>מיכאל תמיר</DisplayName>
            <JudicialTypeName>הרכב שופטים</JudicialTypeName>
            <CaseJudicialGroupNumber>389005</CaseJudicialGroupNumber>
            <FirstName>מיכאל</FirstName>
            <LastName>תמיר</LastName>
            <JudicialPersonTitle>שופט</JudicialPersonTitle>
          </CaseJudicalPersonActive>
        </CaseJudicialPersonPresentationDS>
        <CasePartyID>218172036</CasePartyID>
        <PartyTypeID>3</PartyTypeID>
        <ActivityStatusID>1</ActivityStatusID>
        <LegalEntityID>7551403</LegalEntityID>
        <CaseLegalEntityID>110220440</CaseLegalEntityID>
        <AssistantRoleID>13</AssistantRoleID>
        <AuthenticationTypeID>13</AuthenticationTypeID>
        <AuthenticationTypeName>משרדי ממשלה</AuthenticationTypeName>
        <LegalEntityNumber>513442041</LegalEntityNumber>
        <IsMainPartyType>true</IsMainPartyType>
        <CaseDisplayIdentifier>30103-08-19</CaseDisplayIdentifier>
        <CaseTypeID>10077</CaseTypeID>
        <CaseTypeName>תיק פשעים חמורים (תפ"ח)</CaseTypeName>
        <CaseName>מדינת ישראל נ' קטן</CaseName>
        <FullAddress>נציבות שב"ס רמלה המשרד לביטחון פנים, היחידה לתאום ופיקוח אלקטרוני</FullAddress>
        <MotionID>0</MotionID>
        <CasePleaID>0</CasePleaID>
        <LinkedCaseID>0</LinkedCaseID>
        <PartyID>1</PartyID>
        <CasePartyCategoryID>2</CasePartyCategoryID>
        <LegalEntityAddressID>12916255</LegalEntityAddressID>
        <PleaTypeID>8</PleaTypeID>
        <GroupPartyAlias/>
        <IsConverted>false</IsConverted>
        <LegalEntityRegisteredNameID>9015233</LegalEntityRegisteredNameID>
        <RepresentatedNamesOfAssistant/>
        <LegalEntityTypeID>3</LegalEntityTypeID>
        <IsVerdictExists>false</IsVerdictExists>
        <IsAsirAzir>false</IsAsirAzir>
        <IsPublicationProhibited>false</IsPublicationProhibited>
        <PublicationProhibitedFullName>שב"ס היחידה לתאום ופיקוח אלקטרוני פקא"ל</PublicationProhibitedFullName>
      </CaseParties>
      <CaseParties>
        <PartyTypeName>עד</PartyTypeName>
        <ProceedingType>כתב טענות עיקרי</ProceedingType>
        <PleaName>כתב אישום</PleaName>
        <PartyBelonging> - </PartyBelonging>
        <RoleName>עד בית משפט </RoleName>
        <IsSubProceeding>FALSE</IsSubProceeding>
        <FullName>אנטון פלך</FullName>
        <FirstName>אנטון</FirstName>
        <LastName>פלך</LastName>
        <PartyPropertyName/>
        <AuthenticationTypeAndNumber>ת"ז 332300169</AuthenticationTypeAndNumber>
        <RepresentatedOrRepresentativesNames/>
        <RepresentatedOrRepresentativesCount>0</RepresentatedOrRepresentativesCount>
        <InvitedBy/>
        <CaseID>76703350</CaseID>
        <CaseJudicialPersonPresentationDS>
          <CaseJudicalPersonActive>
            <CaseID>76703350</CaseID>
            <JudicialPersonID>054040928@GOV.IL</JudicialPersonID>
            <JudicialPersonTypeID>1</JudicialPersonTypeID>
            <JudicialTypeID>3</JudicialTypeID>
            <IsChairman>true</IsChairman>
            <TreatmentStartDate>2019-08-15T12:31:38.113+03:00</TreatmentStartDate>
            <TreatmentFinishDate>9999-12-31T23:59:59.997+02:00</TreatmentFinishDate>
            <IdentificationCardNumber>054040928</IdentificationCardNumber>
            <DisplayName>ליאורה ברודי</DisplayName>
            <JudicialTypeName>הרכב שופטים</JudicialTypeName>
            <CaseJudicialGroupNumber>389005</CaseJudicialGroupNumber>
            <FirstName>ליאורה</FirstName>
            <LastName>ברודי</LastName>
            <JudicialPersonTitle>שופט</JudicialPersonTitle>
          </CaseJudicalPersonActive>
          <CaseJudicalPersonActive>
            <CaseID>76703350</CaseID>
            <JudicialPersonID>057331662@GOV.IL</JudicialPersonID>
            <JudicialPersonTypeID>1</JudicialPersonTypeID>
            <JudicialTypeID>3</JudicialTypeID>
            <IsChairman>false</IsChairman>
            <TreatmentStartDate>2019-08-15T12:31:38.113+03:00</TreatmentStartDate>
            <TreatmentFinishDate>9999-12-31T23:59:59.997+02:00</TreatmentFinishDate>
            <IdentificationCardNumber>057331662</IdentificationCardNumber>
            <DisplayName>מיכל ברק נבו</DisplayName>
            <JudicialTypeName>הרכב שופטים</JudicialTypeName>
            <CaseJudicialGroupNumber>389005</CaseJudicialGroupNumber>
            <FirstName>מיכל</FirstName>
            <LastName>ברק נבו</LastName>
            <JudicialPersonTitle>שופט</JudicialPersonTitle>
          </CaseJudicalPersonActive>
          <CaseJudicalPersonActive>
            <CaseID>76703350</CaseID>
            <JudicialPersonID>013813399@GOV.IL</JudicialPersonID>
            <JudicialPersonTypeID>1</JudicialPersonTypeID>
            <JudicialTypeID>3</JudicialTypeID>
            <IsChairman>false</IsChairman>
            <TreatmentStartDate>2019-08-15T12:31:38.113+03:00</TreatmentStartDate>
            <TreatmentFinishDate>9999-12-31T23:59:59.997+02:00</TreatmentFinishDate>
            <IdentificationCardNumber>013813399</IdentificationCardNumber>
            <DisplayName>מיכאל תמיר</DisplayName>
            <JudicialTypeName>הרכב שופטים</JudicialTypeName>
            <CaseJudicialGroupNumber>389005</CaseJudicialGroupNumber>
            <FirstName>מיכאל</FirstName>
            <LastName>תמיר</LastName>
            <JudicialPersonTitle>שופט</JudicialPersonTitle>
          </CaseJudicalPersonActive>
        </CaseJudicialPersonPresentationDS>
        <CasePartyID>215156467</CasePartyID>
        <PartyTypeID>4</PartyTypeID>
        <ActivityStatusID>1</ActivityStatusID>
        <PartyAliasID>101</PartyAliasID>
        <PartyAliasName>עד בית משפט</PartyAliasName>
        <LegalEntityID>76828323</LegalEntityID>
        <CaseLegalEntityID>111985313</CaseLegalEntityID>
        <AuthenticationTypeID>1</AuthenticationTypeID>
        <AuthenticationTypeName>ת"ז</AuthenticationTypeName>
        <LegalEntityNumber>332300169</LegalEntityNumber>
        <IsMainPartyType>true</IsMainPartyType>
        <CaseDisplayIdentifier>30103-08-19</CaseDisplayIdentifier>
        <CaseTypeID>10077</CaseTypeID>
        <CaseTypeName>תיק פשעים חמורים (תפ"ח)</CaseTypeName>
        <CaseName>מדינת ישראל נ' קטן</CaseName>
        <FullAddress>. לוד </FullAddress>
        <MotionID>0</MotionID>
        <CasePleaID>0</CasePleaID>
        <FatherName>אלכסנדר</FatherName>
        <LinkedCaseID>0</LinkedCaseID>
        <PartyID>1</PartyID>
        <CasePartyCategoryID>2</CasePartyCategoryID>
        <LegalEntityAddressID>84215804</LegalEntityAddressID>
        <PleaTypeID>8</PleaTypeID>
        <GroupPartyAlias/>
        <IsConverted>false</IsConverted>
        <LegalEntityRegisteredNameID>7008707</LegalEntityRegisteredNameID>
        <LegalEntityNameID>90050163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אנטון פלך</PublicationProhibitedFullName>
      </CaseParties>
      <CaseParties>
        <PartyTypeName>עד</PartyTypeName>
        <ProceedingType>כתב טענות עיקרי</ProceedingType>
        <PleaName>כתב אישום</PleaName>
        <PartyBelonging> - </PartyBelonging>
        <RoleName>עד בית משפט </RoleName>
        <IsSubProceeding>FALSE</IsSubProceeding>
        <FullName>מרדכי אש</FullName>
        <FirstName>מרדכי</FirstName>
        <LastName>אש</LastName>
        <PartyPropertyName/>
        <AuthenticationTypeAndNumber>ת"ז 051828614</AuthenticationTypeAndNumber>
        <RepresentatedOrRepresentativesNames/>
        <RepresentatedOrRepresentativesCount>0</RepresentatedOrRepresentativesCount>
        <InvitedBy/>
        <CaseID>76703350</CaseID>
        <CaseJudicialPersonPresentationDS>
          <CaseJudicalPersonActive>
            <CaseID>76703350</CaseID>
            <JudicialPersonID>054040928@GOV.IL</JudicialPersonID>
            <JudicialPersonTypeID>1</JudicialPersonTypeID>
            <JudicialTypeID>3</JudicialTypeID>
            <IsChairman>true</IsChairman>
            <TreatmentStartDate>2019-08-15T12:31:38.113+03:00</TreatmentStartDate>
            <TreatmentFinishDate>9999-12-31T23:59:59.997+02:00</TreatmentFinishDate>
            <IdentificationCardNumber>054040928</IdentificationCardNumber>
            <DisplayName>ליאורה ברודי</DisplayName>
            <JudicialTypeName>הרכב שופטים</JudicialTypeName>
            <CaseJudicialGroupNumber>389005</CaseJudicialGroupNumber>
            <FirstName>ליאורה</FirstName>
            <LastName>ברודי</LastName>
            <JudicialPersonTitle>שופט</JudicialPersonTitle>
          </CaseJudicalPersonActive>
          <CaseJudicalPersonActive>
            <CaseID>76703350</CaseID>
            <JudicialPersonID>057331662@GOV.IL</JudicialPersonID>
            <JudicialPersonTypeID>1</JudicialPersonTypeID>
            <JudicialTypeID>3</JudicialTypeID>
            <IsChairman>false</IsChairman>
            <TreatmentStartDate>2019-08-15T12:31:38.113+03:00</TreatmentStartDate>
            <TreatmentFinishDate>9999-12-31T23:59:59.997+02:00</TreatmentFinishDate>
            <IdentificationCardNumber>057331662</IdentificationCardNumber>
            <DisplayName>מיכל ברק נבו</DisplayName>
            <JudicialTypeName>הרכב שופטים</JudicialTypeName>
            <CaseJudicialGroupNumber>389005</CaseJudicialGroupNumber>
            <FirstName>מיכל</FirstName>
            <LastName>ברק נבו</LastName>
            <JudicialPersonTitle>שופט</JudicialPersonTitle>
          </CaseJudicalPersonActive>
          <CaseJudicalPersonActive>
            <CaseID>76703350</CaseID>
            <JudicialPersonID>013813399@GOV.IL</JudicialPersonID>
            <JudicialPersonTypeID>1</JudicialPersonTypeID>
            <JudicialTypeID>3</JudicialTypeID>
            <IsChairman>false</IsChairman>
            <TreatmentStartDate>2019-08-15T12:31:38.113+03:00</TreatmentStartDate>
            <TreatmentFinishDate>9999-12-31T23:59:59.997+02:00</TreatmentFinishDate>
            <IdentificationCardNumber>013813399</IdentificationCardNumber>
            <DisplayName>מיכאל תמיר</DisplayName>
            <JudicialTypeName>הרכב שופטים</JudicialTypeName>
            <CaseJudicialGroupNumber>389005</CaseJudicialGroupNumber>
            <FirstName>מיכאל</FirstName>
            <LastName>תמיר</LastName>
            <JudicialPersonTitle>שופט</JudicialPersonTitle>
          </CaseJudicalPersonActive>
        </CaseJudicialPersonPresentationDS>
        <CasePartyID>253924572</CasePartyID>
        <PartyTypeID>4</PartyTypeID>
        <ActivityStatusID>1</ActivityStatusID>
        <PartyAliasID>101</PartyAliasID>
        <PartyAliasName>עד בית משפט</PartyAliasName>
        <LegalEntityID>23747353</LegalEntityID>
        <CaseLegalEntityID>123801419</CaseLegalEntityID>
        <AuthenticationTypeID>1</AuthenticationTypeID>
        <AuthenticationTypeName>ת"ז</AuthenticationTypeName>
        <LegalEntityNumber>051828614</LegalEntityNumber>
        <IsMainPartyType>true</IsMainPartyType>
        <CaseDisplayIdentifier>30103-08-19</CaseDisplayIdentifier>
        <CaseTypeID>10077</CaseTypeID>
        <CaseTypeName>תיק פשעים חמורים (תפ"ח)</CaseTypeName>
        <CaseName>מדינת ישראל נ' קטן</CaseName>
        <FullAddress>. רמת גן </FullAddress>
        <MotionID>0</MotionID>
        <CasePleaID>0</CasePleaID>
        <FatherName>מאיר</FatherName>
        <LinkedCaseID>0</LinkedCaseID>
        <PartyID>1</PartyID>
        <CasePartyCategoryID>2</CasePartyCategoryID>
        <LegalEntityAddressID>87746647</LegalEntityAddressID>
        <PleaTypeID>8</PleaTypeID>
        <GroupPartyAlias/>
        <IsConverted>false</IsConverted>
        <LegalEntityRegisteredNameID>9472896</LegalEntityRegisteredNameID>
        <LegalEntityNameID>94652394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מרדכי אש</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רחובות</FullName>
        <LastName>שרות מבחן למבוגרים - רחובות</LastName>
        <PartyPropertyName/>
        <AuthenticationTypeAndNumber>משרדי ממשלה 570000779</AuthenticationTypeAndNumber>
        <RepresentatedOrRepresentativesNames/>
        <RepresentatedOrRepresentativesCount>0</RepresentatedOrRepresentativesCount>
        <InvitedBy/>
        <CaseID>76703350</CaseID>
        <CaseJudicialPersonPresentationDS>
          <CaseJudicalPersonActive>
            <CaseID>76703350</CaseID>
            <JudicialPersonID>054040928@GOV.IL</JudicialPersonID>
            <JudicialPersonTypeID>1</JudicialPersonTypeID>
            <JudicialTypeID>3</JudicialTypeID>
            <IsChairman>true</IsChairman>
            <TreatmentStartDate>2019-08-15T12:31:38.113+03:00</TreatmentStartDate>
            <TreatmentFinishDate>9999-12-31T23:59:59.997+02:00</TreatmentFinishDate>
            <IdentificationCardNumber>054040928</IdentificationCardNumber>
            <DisplayName>ליאורה ברודי</DisplayName>
            <JudicialTypeName>הרכב שופטים</JudicialTypeName>
            <CaseJudicialGroupNumber>389005</CaseJudicialGroupNumber>
            <FirstName>ליאורה</FirstName>
            <LastName>ברודי</LastName>
            <JudicialPersonTitle>שופט</JudicialPersonTitle>
          </CaseJudicalPersonActive>
          <CaseJudicalPersonActive>
            <CaseID>76703350</CaseID>
            <JudicialPersonID>057331662@GOV.IL</JudicialPersonID>
            <JudicialPersonTypeID>1</JudicialPersonTypeID>
            <JudicialTypeID>3</JudicialTypeID>
            <IsChairman>false</IsChairman>
            <TreatmentStartDate>2019-08-15T12:31:38.113+03:00</TreatmentStartDate>
            <TreatmentFinishDate>9999-12-31T23:59:59.997+02:00</TreatmentFinishDate>
            <IdentificationCardNumber>057331662</IdentificationCardNumber>
            <DisplayName>מיכל ברק נבו</DisplayName>
            <JudicialTypeName>הרכב שופטים</JudicialTypeName>
            <CaseJudicialGroupNumber>389005</CaseJudicialGroupNumber>
            <FirstName>מיכל</FirstName>
            <LastName>ברק נבו</LastName>
            <JudicialPersonTitle>שופט</JudicialPersonTitle>
          </CaseJudicalPersonActive>
          <CaseJudicalPersonActive>
            <CaseID>76703350</CaseID>
            <JudicialPersonID>013813399@GOV.IL</JudicialPersonID>
            <JudicialPersonTypeID>1</JudicialPersonTypeID>
            <JudicialTypeID>3</JudicialTypeID>
            <IsChairman>false</IsChairman>
            <TreatmentStartDate>2019-08-15T12:31:38.113+03:00</TreatmentStartDate>
            <TreatmentFinishDate>9999-12-31T23:59:59.997+02:00</TreatmentFinishDate>
            <IdentificationCardNumber>013813399</IdentificationCardNumber>
            <DisplayName>מיכאל תמיר</DisplayName>
            <JudicialTypeName>הרכב שופטים</JudicialTypeName>
            <CaseJudicialGroupNumber>389005</CaseJudicialGroupNumber>
            <FirstName>מיכאל</FirstName>
            <LastName>תמיר</LastName>
            <JudicialPersonTitle>שופט</JudicialPersonTitle>
          </CaseJudicalPersonActive>
        </CaseJudicialPersonPresentationDS>
        <CasePartyID>265677224</CasePartyID>
        <PartyTypeID>3</PartyTypeID>
        <ActivityStatusID>1</ActivityStatusID>
        <LegalEntityID>21034188</LegalEntityID>
        <CaseLegalEntityID>127572041</CaseLegalEntityID>
        <AssistantRoleID>14</AssistantRoleID>
        <AuthenticationTypeID>13</AuthenticationTypeID>
        <AuthenticationTypeName>משרדי ממשלה</AuthenticationTypeName>
        <LegalEntityNumber>570000779</LegalEntityNumber>
        <IsMainPartyType>true</IsMainPartyType>
        <CaseDisplayIdentifier>30103-08-19</CaseDisplayIdentifier>
        <CaseTypeID>10077</CaseTypeID>
        <CaseTypeName>תיק פשעים חמורים (תפ"ח)</CaseTypeName>
        <CaseName>מדינת ישראל נ' קטן</CaseName>
        <FullAddress>אופנהיימר 10 פארק המדע רחובות </FullAddress>
        <EmailAddress>f2m_025085173@molsa.gov.il</EmailAddress>
        <MotionID>0</MotionID>
        <CasePleaID>0</CasePleaID>
        <LinkedCaseID>0</LinkedCaseID>
        <PartyID>1</PartyID>
        <CasePartyCategoryID>2</CasePartyCategoryID>
        <LegalEntityAddressID>21367407</LegalEntityAddressID>
        <LegalEntityEmailAddressID>67947563</LegalEntityEmailAddressID>
        <PleaTypeID>8</PleaTypeID>
        <GroupPartyAlias/>
        <IsConverted>false</IsConverted>
        <LegalEntityRegisteredNameID>1807813</LegalEntityRegisteredNameID>
        <RepresentatedNamesOfAssistant/>
        <LegalEntityTypeID>3</LegalEntityTypeID>
        <IsVerdictExists>false</IsVerdictExists>
        <IsAsirAzir>false</IsAsirAzir>
        <IsPublicationProhibited>false</IsPublicationProhibited>
        <PublicationProhibitedFullName>שרות מבחן למבוגרים - רחובות</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אבי כהן</FullName>
        <FirstName>אבי</FirstName>
        <LastName>כהן</LastName>
        <PartyPropertyName/>
        <AuthenticationTypeAndNumber>מ.ר. 17943</AuthenticationTypeAndNumber>
        <RepresentatedOrRepresentativesNames>ויקטור קטן</RepresentatedOrRepresentativesNames>
        <RepresentatedOrRepresentativesCount>1</RepresentatedOrRepresentativesCount>
        <InvitedBy/>
        <CaseID>76703350</CaseID>
        <CaseJudicialPersonPresentationDS>
          <CaseJudicalPersonActive>
            <CaseID>76703350</CaseID>
            <JudicialPersonID>054040928@GOV.IL</JudicialPersonID>
            <JudicialPersonTypeID>1</JudicialPersonTypeID>
            <JudicialTypeID>3</JudicialTypeID>
            <IsChairman>true</IsChairman>
            <TreatmentStartDate>2019-08-15T12:31:38.113+03:00</TreatmentStartDate>
            <TreatmentFinishDate>9999-12-31T23:59:59.997+02:00</TreatmentFinishDate>
            <IdentificationCardNumber>054040928</IdentificationCardNumber>
            <DisplayName>ליאורה ברודי</DisplayName>
            <JudicialTypeName>הרכב שופטים</JudicialTypeName>
            <CaseJudicialGroupNumber>389005</CaseJudicialGroupNumber>
            <FirstName>ליאורה</FirstName>
            <LastName>ברודי</LastName>
            <JudicialPersonTitle>שופט</JudicialPersonTitle>
          </CaseJudicalPersonActive>
          <CaseJudicalPersonActive>
            <CaseID>76703350</CaseID>
            <JudicialPersonID>057331662@GOV.IL</JudicialPersonID>
            <JudicialPersonTypeID>1</JudicialPersonTypeID>
            <JudicialTypeID>3</JudicialTypeID>
            <IsChairman>false</IsChairman>
            <TreatmentStartDate>2019-08-15T12:31:38.113+03:00</TreatmentStartDate>
            <TreatmentFinishDate>9999-12-31T23:59:59.997+02:00</TreatmentFinishDate>
            <IdentificationCardNumber>057331662</IdentificationCardNumber>
            <DisplayName>מיכל ברק נבו</DisplayName>
            <JudicialTypeName>הרכב שופטים</JudicialTypeName>
            <CaseJudicialGroupNumber>389005</CaseJudicialGroupNumber>
            <FirstName>מיכל</FirstName>
            <LastName>ברק נבו</LastName>
            <JudicialPersonTitle>שופט</JudicialPersonTitle>
          </CaseJudicalPersonActive>
          <CaseJudicalPersonActive>
            <CaseID>76703350</CaseID>
            <JudicialPersonID>013813399@GOV.IL</JudicialPersonID>
            <JudicialPersonTypeID>1</JudicialPersonTypeID>
            <JudicialTypeID>3</JudicialTypeID>
            <IsChairman>false</IsChairman>
            <TreatmentStartDate>2019-08-15T12:31:38.113+03:00</TreatmentStartDate>
            <TreatmentFinishDate>9999-12-31T23:59:59.997+02:00</TreatmentFinishDate>
            <IdentificationCardNumber>013813399</IdentificationCardNumber>
            <DisplayName>מיכאל תמיר</DisplayName>
            <JudicialTypeName>הרכב שופטים</JudicialTypeName>
            <CaseJudicialGroupNumber>389005</CaseJudicialGroupNumber>
            <FirstName>מיכאל</FirstName>
            <LastName>תמיר</LastName>
            <JudicialPersonTitle>שופט</JudicialPersonTitle>
          </CaseJudicalPersonActive>
        </CaseJudicialPersonPresentationDS>
        <CasePartyID>210824622</CasePartyID>
        <PartyTypeID>2</PartyTypeID>
        <ActivityStatusID>1</ActivityStatusID>
        <PartyAliasID>32</PartyAliasID>
        <PartyAliasName>בא כוח נאשמים</PartyAliasName>
        <LegalEntityID>397797</LegalEntityID>
        <CaseLegalEntityID>110739017</CaseLegalEntityID>
        <AuthenticationTypeID>4</AuthenticationTypeID>
        <AuthenticationTypeName>מ.ר.</AuthenticationTypeName>
        <LegalEntityNumber>17943</LegalEntityNumber>
        <IsMainPartyType>true</IsMainPartyType>
        <CaseDisplayIdentifier>30103-08-19</CaseDisplayIdentifier>
        <CaseTypeID>10077</CaseTypeID>
        <CaseTypeName>תיק פשעים חמורים (תפ"ח)</CaseTypeName>
        <CaseName>מדינת ישראל נ' קטן</CaseName>
        <FullAddress>שדרות שאול המלך 39 (בית הדר דפנה) תל אביב -יפו בנין B קומה 6</FullAddress>
        <EmailAddress>avicohenlaw50@gmail.com</EmailAddress>
        <MotionID>0</MotionID>
        <CasePleaID>0</CasePleaID>
        <FatherName xml:space="preserve">        </FatherName>
        <LinkedCaseID>0</LinkedCaseID>
        <PartyID>2</PartyID>
        <CasePartyCategoryID>2</CasePartyCategoryID>
        <LegalEntityAddressID>79856188</LegalEntityAddressID>
        <LegalEntityEmailAddressID>67913662</LegalEntityEmailAddressID>
        <PleaTypeID>8</PleaTypeID>
        <LawyerOfficeName>משרד עו"ד: אבי כהן</LawyerOfficeName>
        <LawyerOfficeID>438441</LawyerOfficeID>
        <GroupPartyAlias/>
        <IsConverted>false</IsConverted>
        <LegalEntityNameID>18781</LegalEntityNameID>
        <RepresentatedNamesOfAssistant/>
        <LegalEntityTypeID>4</LegalEntityTypeID>
        <IsVerdictExists>false</IsVerdictExists>
        <IsAsirAzir>false</IsAsirAzir>
        <IsPublicationProhibited>false</IsPublicationProhibited>
        <PublicationProhibitedFullName>אבי כהן</PublicationProhibitedFullName>
      </CaseParties>
      <CaseParties>
        <PartyTypeName>עד</PartyTypeName>
        <ProceedingType>כתב טענות עיקרי</ProceedingType>
        <PleaName>כתב אישום</PleaName>
        <PartyBelonging> - </PartyBelonging>
        <RoleName>עד בית משפט 1</RoleName>
        <IsSubProceeding>FALSE</IsSubProceeding>
        <FullName>שלום אילאייב</FullName>
        <FirstName>שלום</FirstName>
        <LastName>איליאייב</LastName>
        <PartyPropertyName/>
        <AuthenticationTypeAndNumber>ת"ז 313527731</AuthenticationTypeAndNumber>
        <RepresentatedOrRepresentativesNames/>
        <RepresentatedOrRepresentativesCount>0</RepresentatedOrRepresentativesCount>
        <InvitedBy/>
        <CaseID>76703350</CaseID>
        <CaseJudicialPersonPresentationDS>
          <CaseJudicalPersonActive>
            <CaseID>76703350</CaseID>
            <JudicialPersonID>054040928@GOV.IL</JudicialPersonID>
            <JudicialPersonTypeID>1</JudicialPersonTypeID>
            <JudicialTypeID>3</JudicialTypeID>
            <IsChairman>true</IsChairman>
            <TreatmentStartDate>2019-08-15T12:31:38.113+03:00</TreatmentStartDate>
            <TreatmentFinishDate>9999-12-31T23:59:59.997+02:00</TreatmentFinishDate>
            <IdentificationCardNumber>054040928</IdentificationCardNumber>
            <DisplayName>ליאורה ברודי</DisplayName>
            <JudicialTypeName>הרכב שופטים</JudicialTypeName>
            <CaseJudicialGroupNumber>389005</CaseJudicialGroupNumber>
            <FirstName>ליאורה</FirstName>
            <LastName>ברודי</LastName>
            <JudicialPersonTitle>שופט</JudicialPersonTitle>
          </CaseJudicalPersonActive>
          <CaseJudicalPersonActive>
            <CaseID>76703350</CaseID>
            <JudicialPersonID>057331662@GOV.IL</JudicialPersonID>
            <JudicialPersonTypeID>1</JudicialPersonTypeID>
            <JudicialTypeID>3</JudicialTypeID>
            <IsChairman>false</IsChairman>
            <TreatmentStartDate>2019-08-15T12:31:38.113+03:00</TreatmentStartDate>
            <TreatmentFinishDate>9999-12-31T23:59:59.997+02:00</TreatmentFinishDate>
            <IdentificationCardNumber>057331662</IdentificationCardNumber>
            <DisplayName>מיכל ברק נבו</DisplayName>
            <JudicialTypeName>הרכב שופטים</JudicialTypeName>
            <CaseJudicialGroupNumber>389005</CaseJudicialGroupNumber>
            <FirstName>מיכל</FirstName>
            <LastName>ברק נבו</LastName>
            <JudicialPersonTitle>שופט</JudicialPersonTitle>
          </CaseJudicalPersonActive>
          <CaseJudicalPersonActive>
            <CaseID>76703350</CaseID>
            <JudicialPersonID>013813399@GOV.IL</JudicialPersonID>
            <JudicialPersonTypeID>1</JudicialPersonTypeID>
            <JudicialTypeID>3</JudicialTypeID>
            <IsChairman>false</IsChairman>
            <TreatmentStartDate>2019-08-15T12:31:38.113+03:00</TreatmentStartDate>
            <TreatmentFinishDate>9999-12-31T23:59:59.997+02:00</TreatmentFinishDate>
            <IdentificationCardNumber>013813399</IdentificationCardNumber>
            <DisplayName>מיכאל תמיר</DisplayName>
            <JudicialTypeName>הרכב שופטים</JudicialTypeName>
            <CaseJudicialGroupNumber>389005</CaseJudicialGroupNumber>
            <FirstName>מיכאל</FirstName>
            <LastName>תמיר</LastName>
            <JudicialPersonTitle>שופט</JudicialPersonTitle>
          </CaseJudicalPersonActive>
        </CaseJudicialPersonPresentationDS>
        <CasePartyID>215156316</CasePartyID>
        <PartyTypeID>4</PartyTypeID>
        <ActivityStatusID>1</ActivityStatusID>
        <PartyAliasID>101</PartyAliasID>
        <PartyAliasName>עד בית משפט</PartyAliasName>
        <OrdinalNumber>1</OrdinalNumber>
        <LegalEntityID>79158487</LegalEntityID>
        <CaseLegalEntityID>111985262</CaseLegalEntityID>
        <AuthenticationTypeID>1</AuthenticationTypeID>
        <AuthenticationTypeName>ת"ז</AuthenticationTypeName>
        <LegalEntityNumber>313527731</LegalEntityNumber>
        <IsMainPartyType>true</IsMainPartyType>
        <CaseDisplayIdentifier>30103-08-19</CaseDisplayIdentifier>
        <CaseTypeID>10077</CaseTypeID>
        <CaseTypeName>תיק פשעים חמורים (תפ"ח)</CaseTypeName>
        <CaseName>מדינת ישראל נ' קטן</CaseName>
        <FullAddress>. לוד </FullAddress>
        <MotionID>0</MotionID>
        <CasePleaID>0</CasePleaID>
        <FatherName>ג'ורא</FatherName>
        <LinkedCaseID>0</LinkedCaseID>
        <PartyID>1</PartyID>
        <CasePartyCategoryID>2</CasePartyCategoryID>
        <LegalEntityAddressID>84215794</LegalEntityAddressID>
        <PleaTypeID>8</PleaTypeID>
        <GroupPartyAlias/>
        <IsConverted>false</IsConverted>
        <LegalEntityRegisteredNameID>9217393</LegalEntityRegisteredNameID>
        <LegalEntityNameID>90050152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שלום אילאייב</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76703350</CaseID>
        <CaseJudicialPersonPresentationDS>
          <CaseJudicalPersonActive>
            <CaseID>76703350</CaseID>
            <JudicialPersonID>054040928@GOV.IL</JudicialPersonID>
            <JudicialPersonTypeID>1</JudicialPersonTypeID>
            <JudicialTypeID>3</JudicialTypeID>
            <IsChairman>true</IsChairman>
            <TreatmentStartDate>2019-08-15T12:31:38.113+03:00</TreatmentStartDate>
            <TreatmentFinishDate>9999-12-31T23:59:59.997+02:00</TreatmentFinishDate>
            <IdentificationCardNumber>054040928</IdentificationCardNumber>
            <DisplayName>ליאורה ברודי</DisplayName>
            <JudicialTypeName>הרכב שופטים</JudicialTypeName>
            <CaseJudicialGroupNumber>389005</CaseJudicialGroupNumber>
            <FirstName>ליאורה</FirstName>
            <LastName>ברודי</LastName>
            <JudicialPersonTitle>שופט</JudicialPersonTitle>
          </CaseJudicalPersonActive>
          <CaseJudicalPersonActive>
            <CaseID>76703350</CaseID>
            <JudicialPersonID>057331662@GOV.IL</JudicialPersonID>
            <JudicialPersonTypeID>1</JudicialPersonTypeID>
            <JudicialTypeID>3</JudicialTypeID>
            <IsChairman>false</IsChairman>
            <TreatmentStartDate>2019-08-15T12:31:38.113+03:00</TreatmentStartDate>
            <TreatmentFinishDate>9999-12-31T23:59:59.997+02:00</TreatmentFinishDate>
            <IdentificationCardNumber>057331662</IdentificationCardNumber>
            <DisplayName>מיכל ברק נבו</DisplayName>
            <JudicialTypeName>הרכב שופטים</JudicialTypeName>
            <CaseJudicialGroupNumber>389005</CaseJudicialGroupNumber>
            <FirstName>מיכל</FirstName>
            <LastName>ברק נבו</LastName>
            <JudicialPersonTitle>שופט</JudicialPersonTitle>
          </CaseJudicalPersonActive>
          <CaseJudicalPersonActive>
            <CaseID>76703350</CaseID>
            <JudicialPersonID>013813399@GOV.IL</JudicialPersonID>
            <JudicialPersonTypeID>1</JudicialPersonTypeID>
            <JudicialTypeID>3</JudicialTypeID>
            <IsChairman>false</IsChairman>
            <TreatmentStartDate>2019-08-15T12:31:38.113+03:00</TreatmentStartDate>
            <TreatmentFinishDate>9999-12-31T23:59:59.997+02:00</TreatmentFinishDate>
            <IdentificationCardNumber>013813399</IdentificationCardNumber>
            <DisplayName>מיכאל תמיר</DisplayName>
            <JudicialTypeName>הרכב שופטים</JudicialTypeName>
            <CaseJudicialGroupNumber>389005</CaseJudicialGroupNumber>
            <FirstName>מיכאל</FirstName>
            <LastName>תמיר</LastName>
            <JudicialPersonTitle>שופט</JudicialPersonTitle>
          </CaseJudicalPersonActive>
        </CaseJudicialPersonPresentationDS>
        <CasePartyID>200980587</CasePartyID>
        <PartyTypeID>1</PartyTypeID>
        <ActivityStatusID>1</ActivityStatusID>
        <PartyAliasID>11</PartyAliasID>
        <PartyAliasName>מאשימה</PartyAliasName>
        <OrdinalNumber>1</OrdinalNumber>
        <LegalEntityID>4</LegalEntityID>
        <CaseLegalEntityID>107795111</CaseLegalEntityID>
        <AuthenticationTypeID>41</AuthenticationTypeID>
        <AuthenticationTypeName>מדינת ישראל </AuthenticationTypeName>
        <LegalEntityNumber/>
        <IsMainPartyType>true</IsMainPartyType>
        <CaseDisplayIdentifier>30103-08-19</CaseDisplayIdentifier>
        <CaseTypeID>10077</CaseTypeID>
        <CaseTypeName>תיק פשעים חמורים (תפ"ח)</CaseTypeName>
        <CaseName>מדינת ישראל נ' קטן</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76703350</CaseID>
        <CaseJudicialPersonPresentationDS>
          <CaseJudicalPersonActive>
            <CaseID>76703350</CaseID>
            <JudicialPersonID>054040928@GOV.IL</JudicialPersonID>
            <JudicialPersonTypeID>1</JudicialPersonTypeID>
            <JudicialTypeID>3</JudicialTypeID>
            <IsChairman>true</IsChairman>
            <TreatmentStartDate>2019-08-15T12:31:38.113+03:00</TreatmentStartDate>
            <TreatmentFinishDate>9999-12-31T23:59:59.997+02:00</TreatmentFinishDate>
            <IdentificationCardNumber>054040928</IdentificationCardNumber>
            <DisplayName>ליאורה ברודי</DisplayName>
            <JudicialTypeName>הרכב שופטים</JudicialTypeName>
            <CaseJudicialGroupNumber>389005</CaseJudicialGroupNumber>
            <FirstName>ליאורה</FirstName>
            <LastName>ברודי</LastName>
            <JudicialPersonTitle>שופט</JudicialPersonTitle>
          </CaseJudicalPersonActive>
          <CaseJudicalPersonActive>
            <CaseID>76703350</CaseID>
            <JudicialPersonID>057331662@GOV.IL</JudicialPersonID>
            <JudicialPersonTypeID>1</JudicialPersonTypeID>
            <JudicialTypeID>3</JudicialTypeID>
            <IsChairman>false</IsChairman>
            <TreatmentStartDate>2019-08-15T12:31:38.113+03:00</TreatmentStartDate>
            <TreatmentFinishDate>9999-12-31T23:59:59.997+02:00</TreatmentFinishDate>
            <IdentificationCardNumber>057331662</IdentificationCardNumber>
            <DisplayName>מיכל ברק נבו</DisplayName>
            <JudicialTypeName>הרכב שופטים</JudicialTypeName>
            <CaseJudicialGroupNumber>389005</CaseJudicialGroupNumber>
            <FirstName>מיכל</FirstName>
            <LastName>ברק נבו</LastName>
            <JudicialPersonTitle>שופט</JudicialPersonTitle>
          </CaseJudicalPersonActive>
          <CaseJudicalPersonActive>
            <CaseID>76703350</CaseID>
            <JudicialPersonID>013813399@GOV.IL</JudicialPersonID>
            <JudicialPersonTypeID>1</JudicialPersonTypeID>
            <JudicialTypeID>3</JudicialTypeID>
            <IsChairman>false</IsChairman>
            <TreatmentStartDate>2019-08-15T12:31:38.113+03:00</TreatmentStartDate>
            <TreatmentFinishDate>9999-12-31T23:59:59.997+02:00</TreatmentFinishDate>
            <IdentificationCardNumber>013813399</IdentificationCardNumber>
            <DisplayName>מיכאל תמיר</DisplayName>
            <JudicialTypeName>הרכב שופטים</JudicialTypeName>
            <CaseJudicialGroupNumber>389005</CaseJudicialGroupNumber>
            <FirstName>מיכאל</FirstName>
            <LastName>תמיר</LastName>
            <JudicialPersonTitle>שופט</JudicialPersonTitle>
          </CaseJudicalPersonActive>
        </CaseJudicialPersonPresentationDS>
        <CasePartyID>200980588</CasePartyID>
        <PartyTypeID>2</PartyTypeID>
        <ActivityStatusID>1</ActivityStatusID>
        <PartyAliasID>30</PartyAliasID>
        <PartyAliasName>בא כוח מאשימה</PartyAliasName>
        <OrdinalNumber>1</OrdinalNumber>
        <LegalEntityID>398656</LegalEntityID>
        <CaseLegalEntityID>107795112</CaseLegalEntityID>
        <AuthenticationTypeID>4</AuthenticationTypeID>
        <AuthenticationTypeName>מ.ר.</AuthenticationTypeName>
        <LegalEntityNumber>19202</LegalEntityNumber>
        <IsMainPartyType>true</IsMainPartyType>
        <CaseDisplayIdentifier>30103-08-19</CaseDisplayIdentifier>
        <CaseTypeID>10077</CaseTypeID>
        <CaseTypeName>תיק פשעים חמורים (תפ"ח)</CaseTypeName>
        <CaseName>מדינת ישראל נ' קטן</CaseName>
        <FullAddress>הנרייטה סולד 1 תל אביב -יפו </FullAddress>
        <EmailAddress>pamam-plili@justice.gov.il</EmailAddress>
        <MotionID>0</MotionID>
        <CasePleaID>0</CasePleaID>
        <LinkedCaseID>0</LinkedCaseID>
        <PartyID>1</PartyID>
        <CasePartyCategoryID>2</CasePartyCategoryID>
        <LegalEntityAddressID>70303721</LegalEntityAddressID>
        <LegalEntityEmailAddressID>68305138</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ויקטור קטן</FullName>
        <FirstName>ויקטור</FirstName>
        <LastName>קטן</LastName>
        <PartyPropertyName/>
        <AuthenticationTypeAndNumber>ת"ז 012705257</AuthenticationTypeAndNumber>
        <RepresentatedOrRepresentativesNames>אבי כהן</RepresentatedOrRepresentativesNames>
        <RepresentatedOrRepresentativesCount>1</RepresentatedOrRepresentativesCount>
        <InvitedBy/>
        <CaseID>76703350</CaseID>
        <CaseJudicialPersonPresentationDS>
          <CaseJudicalPersonActive>
            <CaseID>76703350</CaseID>
            <JudicialPersonID>054040928@GOV.IL</JudicialPersonID>
            <JudicialPersonTypeID>1</JudicialPersonTypeID>
            <JudicialTypeID>3</JudicialTypeID>
            <IsChairman>true</IsChairman>
            <TreatmentStartDate>2019-08-15T12:31:38.113+03:00</TreatmentStartDate>
            <TreatmentFinishDate>9999-12-31T23:59:59.997+02:00</TreatmentFinishDate>
            <IdentificationCardNumber>054040928</IdentificationCardNumber>
            <DisplayName>ליאורה ברודי</DisplayName>
            <JudicialTypeName>הרכב שופטים</JudicialTypeName>
            <CaseJudicialGroupNumber>389005</CaseJudicialGroupNumber>
            <FirstName>ליאורה</FirstName>
            <LastName>ברודי</LastName>
            <JudicialPersonTitle>שופט</JudicialPersonTitle>
          </CaseJudicalPersonActive>
          <CaseJudicalPersonActive>
            <CaseID>76703350</CaseID>
            <JudicialPersonID>057331662@GOV.IL</JudicialPersonID>
            <JudicialPersonTypeID>1</JudicialPersonTypeID>
            <JudicialTypeID>3</JudicialTypeID>
            <IsChairman>false</IsChairman>
            <TreatmentStartDate>2019-08-15T12:31:38.113+03:00</TreatmentStartDate>
            <TreatmentFinishDate>9999-12-31T23:59:59.997+02:00</TreatmentFinishDate>
            <IdentificationCardNumber>057331662</IdentificationCardNumber>
            <DisplayName>מיכל ברק נבו</DisplayName>
            <JudicialTypeName>הרכב שופטים</JudicialTypeName>
            <CaseJudicialGroupNumber>389005</CaseJudicialGroupNumber>
            <FirstName>מיכל</FirstName>
            <LastName>ברק נבו</LastName>
            <JudicialPersonTitle>שופט</JudicialPersonTitle>
          </CaseJudicalPersonActive>
          <CaseJudicalPersonActive>
            <CaseID>76703350</CaseID>
            <JudicialPersonID>013813399@GOV.IL</JudicialPersonID>
            <JudicialPersonTypeID>1</JudicialPersonTypeID>
            <JudicialTypeID>3</JudicialTypeID>
            <IsChairman>false</IsChairman>
            <TreatmentStartDate>2019-08-15T12:31:38.113+03:00</TreatmentStartDate>
            <TreatmentFinishDate>9999-12-31T23:59:59.997+02:00</TreatmentFinishDate>
            <IdentificationCardNumber>013813399</IdentificationCardNumber>
            <DisplayName>מיכאל תמיר</DisplayName>
            <JudicialTypeName>הרכב שופטים</JudicialTypeName>
            <CaseJudicialGroupNumber>389005</CaseJudicialGroupNumber>
            <FirstName>מיכאל</FirstName>
            <LastName>תמיר</LastName>
            <JudicialPersonTitle>שופט</JudicialPersonTitle>
          </CaseJudicalPersonActive>
        </CaseJudicialPersonPresentationDS>
        <CasePartyID>200980589</CasePartyID>
        <PartyTypeID>1</PartyTypeID>
        <ActivityStatusID>1</ActivityStatusID>
        <PartyAliasID>13</PartyAliasID>
        <PartyAliasName>נאשם</PartyAliasName>
        <OrdinalNumber>1</OrdinalNumber>
        <LegalEntityID>73981101</LegalEntityID>
        <CaseLegalEntityID>107795113</CaseLegalEntityID>
        <AuthenticationTypeID>1</AuthenticationTypeID>
        <AuthenticationTypeName>ת"ז</AuthenticationTypeName>
        <LegalEntityNumber>012705257</LegalEntityNumber>
        <IsMainPartyType>true</IsMainPartyType>
        <CaseDisplayIdentifier>30103-08-19</CaseDisplayIdentifier>
        <CaseTypeID>10077</CaseTypeID>
        <CaseTypeName>תיק פשעים חמורים (תפ"ח)</CaseTypeName>
        <CaseName>מדינת ישראל נ' קטן</CaseName>
        <FullAddress/>
        <MotionID>0</MotionID>
        <CasePleaID>0</CasePleaID>
        <FatherName>יעקב</FatherName>
        <LinkedCaseID>0</LinkedCaseID>
        <PartyID>2</PartyID>
        <CasePartyCategoryID>2</CasePartyCategoryID>
        <PleaTypeID>8</PleaTypeID>
        <GroupPartyAlias>נאשמים</GroupPartyAlias>
        <IsConverted>false</IsConverted>
        <LegalEntityRegisteredNameID>8746324</LegalEntityRegisteredNameID>
        <LegalEntityNameID>88256405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ויקטור קטן</PublicationProhibitedFullName>
      </CaseParties>
    </CasePartiesSelectionDS>
    <CaseName>מדינת ישראל נ' קטן</CaseName>
    <CaseDisplayIdentifier>30103-08-19</CaseDisplayIdentifier>
    <CaseTypeShortName>תפ"ח</CaseTypeShortName>
  </dt_DecisionCase>
  <dt_DecisionJudgePanel>
    <JudgeID>054040928@GOV.IL</JudgeID>
    <DisplayName>ברודי</DisplayName>
    <RoleName>שופט</RoleName>
    <UserTitleName>שופטת, סגנית הנשיאה</UserTitleName>
  </dt_DecisionJudgePanel>
  <dt_DecisionJudgePanel>
    <JudgeID>057331662@GOV.IL</JudgeID>
    <DisplayName>ברק נבו</DisplayName>
    <RoleName>שופט</RoleName>
    <UserTitleName>שופטת</UserTitleName>
  </dt_DecisionJudgePanel>
  <dt_DecisionJudgePanel>
    <JudgeID>013813399@GOV.IL</JudgeID>
    <DisplayName>תמיר</DisplayName>
    <RoleName>שופט</RoleName>
    <UserTitleName>שופט</UserTitleName>
  </dt_DecisionJudgePanel>
  <dt_LegalEntityDetails>
    <Fax/>
    <Phone/>
    <AddressDesc/>
    <PartyID>1</PartyID>
    <PartyTypeID>3</PartyTypeID>
    <DecisionID>0</DecisionID>
    <AssistantRoleID>26</AssistantRoleID>
    <StreetName/>
    <CityName/>
    <FullName> הסנגוריה ציבורית מחוז מרכז</FullName>
    <Email>sanminuiimmerkaz@justice.gov.il</Email>
    <IsPublicationProhibited>false</IsPublicationProhibited>
  </dt_LegalEntityDetails>
  <dt_LegalEntityDetails>
    <Fax>03-6093929</Fax>
    <Phone>03-6296542</Phone>
    <AddressDesc>בנין B קומה 6</AddressDesc>
    <PartyID>2</PartyID>
    <PartyTypeID>2</PartyTypeID>
    <DecisionID>0</DecisionID>
    <StreetName> שדרות שאול המלך 39 (בית הדר דפנה)</StreetName>
    <ZipCode>6492807</ZipCode>
    <CityName>תל אביב -יפו</CityName>
    <FullName>אבי כהן</FullName>
    <Email>avicohenlaw50@gmail.com</Email>
    <IsPublicationProhibited>false</IsPublicationProhibited>
  </dt_LegalEntityDetails>
  <dt_LegalEntityDetails>
    <PartyID>1</PartyID>
    <PartyTypeID>4</PartyTypeID>
    <DecisionID>0</DecisionID>
    <IsPublicationProhibited>false</IsPublicationProhibited>
  </dt_LegalEntityDetails>
  <dt_LegalEntityDetails>
    <Fax>08-9193278</Fax>
    <Phone>074-7836666</Phone>
    <AddressDesc>המשרד לביטחון פנים, היחידה לתאום ופיקוח אלקטרוני</AddressDesc>
    <PartyID>1</PartyID>
    <PartyTypeID>3</PartyTypeID>
    <DecisionID>0</DecisionID>
    <AssistantRoleID>13</AssistantRoleID>
    <StreetName>נציבות שב"ס</StreetName>
    <ZipCode>97200</ZipCode>
    <CityName>רמלה</CityName>
    <FullName> שב"ס היחידה לתאום ופיקוח אלקטרוני פקא"ל</FullName>
    <Email/>
    <IsPublicationProhibited>false</IsPublicationProhibited>
  </dt_LegalEntityDetails>
  <dt_LegalEntityDetails>
    <PartyID>1</PartyID>
    <PartyTypeID>4</PartyTypeID>
    <DecisionID>0</DecisionID>
    <IsPublicationProhibited>false</IsPublicationProhibited>
  </dt_LegalEntityDetails>
  <dt_LegalEntityDetails>
    <Fax>02-5085173</Fax>
    <Phone>08-9314160</Phone>
    <AddressDesc/>
    <PartyID>1</PartyID>
    <PartyTypeID>3</PartyTypeID>
    <DecisionID>0</DecisionID>
    <AssistantRoleID>14</AssistantRoleID>
    <StreetName>אופנהיימר 10 פארק המדע</StreetName>
    <CityName>רחובות</CityName>
    <FullName> שרות מבחן למבוגרים - רחובות</FullName>
    <Email>f2m_025085173@molsa.gov.il</Email>
    <IsPublicationProhibited>false</IsPublicationProhibited>
  </dt_LegalEntityDetails>
  <dt_LegalEntityDetails>
    <PartyID>1</PartyID>
    <PartyTypeID>1</PartyTypeID>
    <DecisionID>0</DecisionID>
    <IsPublicationProhibited>false</IsPublicationProhibited>
  </dt_LegalEntityDetails>
  <dt_LegalEntityDetails>
    <Fax>03-6959567</Fax>
    <Phone>073-3924444</Phone>
    <PartyID>1</PartyID>
    <PartyTypeID>2</PartyTypeID>
    <DecisionID>0</DecisionID>
    <StreetName>הנרייטה סולד 1</StreetName>
    <CityName>תל אביב -יפו</CityName>
    <FullName>רחל אבישר-אבלס</FullName>
    <Email>pamam-plili@justice.gov.il</Email>
    <IsPublicationProhibited>false</IsPublicationProhibited>
  </dt_LegalEntityDetails>
  <dt_LegalEntityDetails>
    <PartyID>2</PartyID>
    <PartyTypeID>1</PartyTypeID>
    <DecisionID>0</DecisionID>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שופטת, סגנית הנשיאה ליאורה ברודי, שופטת מיכל ברק נבו, שופט מיכאל תמיר</CaseJudicalPerson>
  </dt_CaseJudicalPersonActive>
  <dt_Sitting>
    <FutureSittingDate>2024-06-04T11:45:00+03:00</FutureSittingDate>
    <PreviousMeetingDate>2024-05-02T13:00:00+03:00</PreviousMeetingDate>
    <NextSittingTypeID>15</NextSittingTypeID>
    <PreviousSittingTypeID>12</PreviousSittingTypeID>
    <NextMeetingDisplayName>ליאורה ברודי, מיכל ברק נבו, מיכאל תמיר</NextMeetingDisplayName>
    <NextMeetingUserUPN>013813399@GOV.IL, 054040928@GOV.IL, 057331662@GOV.IL</NextMeetingUserUPN>
    <PreviousMeetingDisplayName>ליאורה ברודי, מיכל ברק נבו, מיכאל תמיר</PreviousMeetingDisplayName>
    <PreviousMeetingUserUPN>013813399@GOV.IL, 054040928@GOV.IL, 057331662@GOV.IL</PreviousMeetingUserUPN>
  </dt_Sitting>
</DecisionTemplateDS>
</file>

<file path=customXml/itemProps1.xml><?xml version="1.0" encoding="utf-8"?>
<ds:datastoreItem xmlns:ds="http://schemas.openxmlformats.org/officeDocument/2006/customXml" ds:itemID="{DFC0B310-01D6-46FA-8D56-CACDD0A14D2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9864</Words>
  <Characters>49323</Characters>
  <Application>Microsoft Office Word</Application>
  <DocSecurity>0</DocSecurity>
  <Lines>411</Lines>
  <Paragraphs>118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59069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2024-06-04T09:18:00Z</cp:lastPrinted>
  <dcterms:created xsi:type="dcterms:W3CDTF">2024-06-06T11:37:00Z</dcterms:created>
  <dcterms:modified xsi:type="dcterms:W3CDTF">2024-06-06T11:37:00Z</dcterms:modified>
</cp:coreProperties>
</file>